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6E1" w:rsidRDefault="00082041" w:rsidP="005F46E1">
      <w:pPr>
        <w:spacing w:after="0" w:line="240" w:lineRule="auto"/>
        <w:outlineLvl w:val="3"/>
        <w:rPr>
          <w:rFonts w:ascii="Arial" w:eastAsia="Times New Roman" w:hAnsi="Arial" w:cs="Arial"/>
          <w:b/>
          <w:bCs/>
          <w:color w:val="000000" w:themeColor="text1"/>
          <w:sz w:val="27"/>
          <w:szCs w:val="27"/>
        </w:rPr>
      </w:pPr>
      <w:r>
        <w:rPr>
          <w:rFonts w:ascii="Arial" w:eastAsia="Times New Roman" w:hAnsi="Arial" w:cs="Arial"/>
          <w:b/>
          <w:bCs/>
          <w:color w:val="000000" w:themeColor="text1"/>
          <w:sz w:val="27"/>
          <w:szCs w:val="27"/>
        </w:rPr>
        <w:t>Reading &amp; Writing Informational Text</w:t>
      </w:r>
      <w:r w:rsidR="009053F9" w:rsidRPr="009053F9">
        <w:rPr>
          <w:rFonts w:ascii="Arial" w:eastAsia="Times New Roman" w:hAnsi="Arial" w:cs="Arial"/>
          <w:b/>
          <w:bCs/>
          <w:color w:val="000000" w:themeColor="text1"/>
          <w:sz w:val="27"/>
          <w:szCs w:val="27"/>
        </w:rPr>
        <w:t xml:space="preserve"> Strategies</w:t>
      </w:r>
      <w:r w:rsidR="00BD5596">
        <w:rPr>
          <w:rFonts w:ascii="Arial" w:eastAsia="Times New Roman" w:hAnsi="Arial" w:cs="Arial"/>
          <w:b/>
          <w:bCs/>
          <w:color w:val="000000" w:themeColor="text1"/>
          <w:sz w:val="27"/>
          <w:szCs w:val="27"/>
        </w:rPr>
        <w:t>: Close Reading</w:t>
      </w:r>
    </w:p>
    <w:p w:rsidR="009053F9" w:rsidRDefault="009053F9" w:rsidP="005F46E1">
      <w:pPr>
        <w:spacing w:after="0" w:line="240" w:lineRule="auto"/>
        <w:outlineLvl w:val="3"/>
        <w:rPr>
          <w:rFonts w:ascii="Arial" w:eastAsia="Times New Roman" w:hAnsi="Arial" w:cs="Arial"/>
          <w:b/>
          <w:bCs/>
          <w:color w:val="000000" w:themeColor="text1"/>
          <w:sz w:val="27"/>
          <w:szCs w:val="27"/>
        </w:rPr>
      </w:pPr>
    </w:p>
    <w:p w:rsidR="00BD5596" w:rsidRDefault="00BD5596" w:rsidP="00082041">
      <w:pPr>
        <w:spacing w:after="0"/>
        <w:rPr>
          <w:rFonts w:cs="Arial"/>
          <w:color w:val="000000"/>
          <w:sz w:val="24"/>
          <w:szCs w:val="24"/>
        </w:rPr>
      </w:pPr>
    </w:p>
    <w:p w:rsidR="00BD5596" w:rsidRPr="005E7AB1" w:rsidRDefault="00BD5596" w:rsidP="00082041">
      <w:pPr>
        <w:spacing w:after="0"/>
        <w:rPr>
          <w:rFonts w:cs="Arial"/>
          <w:b/>
          <w:i/>
          <w:color w:val="000000"/>
          <w:sz w:val="20"/>
          <w:szCs w:val="20"/>
        </w:rPr>
      </w:pPr>
      <w:r w:rsidRPr="005E7AB1">
        <w:rPr>
          <w:rFonts w:cs="Arial"/>
          <w:b/>
          <w:i/>
          <w:color w:val="000000"/>
          <w:sz w:val="24"/>
          <w:szCs w:val="24"/>
        </w:rPr>
        <w:t>A significant body of research links the close reading of complex text—whether the student is a struggling reader or advanced—to significant gains in reading proficiency and finds close reading to be a key component of college and career readiness</w:t>
      </w:r>
      <w:r w:rsidRPr="005E7AB1">
        <w:rPr>
          <w:rFonts w:cs="Arial"/>
          <w:b/>
          <w:i/>
          <w:color w:val="000000"/>
          <w:sz w:val="20"/>
          <w:szCs w:val="20"/>
        </w:rPr>
        <w:t>.</w:t>
      </w:r>
    </w:p>
    <w:p w:rsidR="00B22EDD" w:rsidRPr="005E7AB1" w:rsidRDefault="00BD5596" w:rsidP="00082041">
      <w:pPr>
        <w:spacing w:after="0"/>
        <w:rPr>
          <w:rFonts w:eastAsia="Times New Roman" w:cs="Arial"/>
          <w:b/>
          <w:i/>
          <w:color w:val="000000"/>
          <w:sz w:val="20"/>
          <w:szCs w:val="20"/>
        </w:rPr>
      </w:pPr>
      <w:r w:rsidRPr="005E7AB1">
        <w:rPr>
          <w:rFonts w:cs="Arial"/>
          <w:b/>
          <w:i/>
          <w:color w:val="000000"/>
          <w:sz w:val="20"/>
          <w:szCs w:val="20"/>
        </w:rPr>
        <w:t>(Partnership for Assessment of Readiness for College and Careers, 2011, p. 7)</w:t>
      </w:r>
    </w:p>
    <w:p w:rsidR="009053F9" w:rsidRPr="005E7AB1" w:rsidRDefault="005F46E1" w:rsidP="00082041">
      <w:pPr>
        <w:spacing w:after="0"/>
        <w:rPr>
          <w:rFonts w:eastAsia="Times New Roman" w:cs="Arial"/>
          <w:b/>
          <w:i/>
          <w:color w:val="000000"/>
          <w:sz w:val="20"/>
          <w:szCs w:val="20"/>
        </w:rPr>
      </w:pPr>
      <w:r w:rsidRPr="005E7AB1">
        <w:rPr>
          <w:rFonts w:eastAsia="Times New Roman" w:cs="Arial"/>
          <w:b/>
          <w:i/>
          <w:vanish/>
          <w:color w:val="000000"/>
          <w:sz w:val="20"/>
          <w:szCs w:val="20"/>
        </w:rPr>
        <w:br/>
      </w:r>
    </w:p>
    <w:p w:rsidR="00DA0428" w:rsidRDefault="00DA0428" w:rsidP="00ED23E3">
      <w:pPr>
        <w:spacing w:after="0" w:line="240" w:lineRule="auto"/>
        <w:rPr>
          <w:b/>
          <w:sz w:val="24"/>
          <w:szCs w:val="24"/>
        </w:rPr>
      </w:pPr>
    </w:p>
    <w:p w:rsidR="00BD5596" w:rsidRPr="00BD5596" w:rsidRDefault="00BD5596" w:rsidP="00BD5596">
      <w:pPr>
        <w:shd w:val="clear" w:color="auto" w:fill="FFFFFF"/>
        <w:spacing w:after="150" w:line="300" w:lineRule="atLeast"/>
        <w:outlineLvl w:val="2"/>
        <w:rPr>
          <w:rFonts w:ascii="Arial" w:eastAsia="Times New Roman" w:hAnsi="Arial" w:cs="Arial"/>
          <w:b/>
          <w:bCs/>
          <w:color w:val="000000"/>
          <w:sz w:val="24"/>
          <w:szCs w:val="24"/>
        </w:rPr>
      </w:pPr>
      <w:r w:rsidRPr="00BD5596">
        <w:rPr>
          <w:rFonts w:ascii="Arial" w:eastAsia="Times New Roman" w:hAnsi="Arial" w:cs="Arial"/>
          <w:b/>
          <w:bCs/>
          <w:color w:val="000000"/>
          <w:sz w:val="24"/>
          <w:szCs w:val="24"/>
        </w:rPr>
        <w:t>What Is Close Reading?</w:t>
      </w:r>
    </w:p>
    <w:p w:rsidR="00BD5596" w:rsidRDefault="00BD5596" w:rsidP="00BD5596">
      <w:pPr>
        <w:shd w:val="clear" w:color="auto" w:fill="FFFFFF"/>
        <w:spacing w:after="0" w:line="270" w:lineRule="atLeast"/>
        <w:rPr>
          <w:rFonts w:eastAsia="Times New Roman" w:cs="Arial"/>
          <w:color w:val="000000"/>
          <w:sz w:val="24"/>
          <w:szCs w:val="24"/>
        </w:rPr>
      </w:pPr>
      <w:r w:rsidRPr="00BD5596">
        <w:rPr>
          <w:rFonts w:eastAsia="Times New Roman" w:cs="Arial"/>
          <w:color w:val="000000"/>
          <w:sz w:val="24"/>
          <w:szCs w:val="24"/>
        </w:rPr>
        <w:t>Essentially, close reading means reading to uncover layers of meaning that lead to deep comprehension. The Partnership for Assessment of Readiness for College and Careers supplies clarification useful for teaching with Common Core standards in mind:</w:t>
      </w:r>
    </w:p>
    <w:p w:rsidR="00BD5596" w:rsidRPr="00BD5596" w:rsidRDefault="00BD5596" w:rsidP="00BD5596">
      <w:pPr>
        <w:shd w:val="clear" w:color="auto" w:fill="FFFFFF"/>
        <w:spacing w:after="0" w:line="270" w:lineRule="atLeast"/>
        <w:rPr>
          <w:rFonts w:eastAsia="Times New Roman" w:cs="Arial"/>
          <w:color w:val="000000"/>
          <w:sz w:val="24"/>
          <w:szCs w:val="24"/>
        </w:rPr>
      </w:pPr>
    </w:p>
    <w:p w:rsidR="00BD5596" w:rsidRDefault="00BD5596" w:rsidP="00BD5596">
      <w:pPr>
        <w:shd w:val="clear" w:color="auto" w:fill="FFFFFF"/>
        <w:spacing w:line="270" w:lineRule="atLeast"/>
        <w:rPr>
          <w:rFonts w:eastAsia="Times New Roman" w:cs="Arial"/>
          <w:color w:val="000000"/>
          <w:sz w:val="24"/>
          <w:szCs w:val="24"/>
        </w:rPr>
      </w:pPr>
      <w:r w:rsidRPr="00BD5596">
        <w:rPr>
          <w:rFonts w:eastAsia="Times New Roman" w:cs="Arial"/>
          <w:color w:val="000000"/>
          <w:sz w:val="24"/>
          <w:szCs w:val="24"/>
        </w:rPr>
        <w:t>Close, analytic reading stresses engaging with a text of sufficient complexity directly and examining meaning thoroughly and methodically, encouraging students to read and reread deliberately. Directing student attention on the text itself empowers students to understand the central ideas and key supporting details. It also enables students to reflect on the meanings of individual words and sentences; the order in which sentences unfold; and the development of ideas over the course of the text, which ultimately leads students to arrive at an understanding of the text as a whole.</w:t>
      </w:r>
    </w:p>
    <w:p w:rsidR="00BD5596" w:rsidRDefault="00BD5596" w:rsidP="00BD5596">
      <w:pPr>
        <w:shd w:val="clear" w:color="auto" w:fill="FFFFFF"/>
        <w:spacing w:line="270" w:lineRule="atLeast"/>
        <w:rPr>
          <w:rFonts w:eastAsia="Times New Roman" w:cs="Arial"/>
          <w:color w:val="000000"/>
          <w:sz w:val="24"/>
          <w:szCs w:val="24"/>
        </w:rPr>
      </w:pPr>
      <w:r>
        <w:rPr>
          <w:rFonts w:eastAsia="Times New Roman" w:cs="Arial"/>
          <w:color w:val="000000"/>
          <w:sz w:val="24"/>
          <w:szCs w:val="24"/>
        </w:rPr>
        <w:t xml:space="preserve">The Prentice Hall Common Core Companion Teacher’s Edition provides many examples of close reading.  For each selection, </w:t>
      </w:r>
      <w:bookmarkStart w:id="0" w:name="_GoBack"/>
      <w:bookmarkEnd w:id="0"/>
      <w:r>
        <w:rPr>
          <w:rFonts w:eastAsia="Times New Roman" w:cs="Arial"/>
          <w:color w:val="000000"/>
          <w:sz w:val="24"/>
          <w:szCs w:val="24"/>
        </w:rPr>
        <w:t xml:space="preserve">they delineate specific passages (bracketed lines) that support students’ understanding of the selection and directly tie them to the Big Question </w:t>
      </w:r>
      <w:r w:rsidR="00D441C7">
        <w:rPr>
          <w:rFonts w:eastAsia="Times New Roman" w:cs="Arial"/>
          <w:color w:val="000000"/>
          <w:sz w:val="24"/>
          <w:szCs w:val="24"/>
        </w:rPr>
        <w:t xml:space="preserve">which often relates to the ELA module’s </w:t>
      </w:r>
      <w:r>
        <w:rPr>
          <w:rFonts w:eastAsia="Times New Roman" w:cs="Arial"/>
          <w:color w:val="000000"/>
          <w:sz w:val="24"/>
          <w:szCs w:val="24"/>
        </w:rPr>
        <w:t xml:space="preserve"> essential question</w:t>
      </w:r>
      <w:r w:rsidR="00D441C7">
        <w:rPr>
          <w:rFonts w:eastAsia="Times New Roman" w:cs="Arial"/>
          <w:color w:val="000000"/>
          <w:sz w:val="24"/>
          <w:szCs w:val="24"/>
        </w:rPr>
        <w:t>.</w:t>
      </w:r>
    </w:p>
    <w:p w:rsidR="002D561A" w:rsidRDefault="00BD5596" w:rsidP="00BD5596">
      <w:pPr>
        <w:shd w:val="clear" w:color="auto" w:fill="FFFFFF"/>
        <w:spacing w:line="270" w:lineRule="atLeast"/>
        <w:rPr>
          <w:rFonts w:eastAsia="Times New Roman" w:cs="Arial"/>
          <w:color w:val="000000"/>
          <w:sz w:val="24"/>
          <w:szCs w:val="24"/>
        </w:rPr>
      </w:pPr>
      <w:r>
        <w:rPr>
          <w:rFonts w:eastAsia="Times New Roman" w:cs="Arial"/>
          <w:color w:val="000000"/>
          <w:sz w:val="24"/>
          <w:szCs w:val="24"/>
        </w:rPr>
        <w:t xml:space="preserve">There is a great video of high school students demonstrating close reading that teachers have successfully shared with their students. </w:t>
      </w:r>
      <w:r w:rsidR="002D561A">
        <w:rPr>
          <w:rFonts w:eastAsia="Times New Roman" w:cs="Arial"/>
          <w:color w:val="000000"/>
          <w:sz w:val="24"/>
          <w:szCs w:val="24"/>
        </w:rPr>
        <w:t>Go to</w:t>
      </w:r>
      <w:r>
        <w:rPr>
          <w:rFonts w:eastAsia="Times New Roman" w:cs="Arial"/>
          <w:color w:val="000000"/>
          <w:sz w:val="24"/>
          <w:szCs w:val="24"/>
        </w:rPr>
        <w:t xml:space="preserve"> </w:t>
      </w:r>
      <w:hyperlink r:id="rId8" w:history="1">
        <w:r w:rsidR="002D561A" w:rsidRPr="002D561A">
          <w:rPr>
            <w:rStyle w:val="Hyperlink"/>
            <w:rFonts w:eastAsia="Times New Roman" w:cs="Arial"/>
            <w:sz w:val="24"/>
            <w:szCs w:val="24"/>
          </w:rPr>
          <w:t>http://www.youtube.com/watch?v=adXdTXEzmzE</w:t>
        </w:r>
      </w:hyperlink>
      <w:r w:rsidR="002D561A">
        <w:rPr>
          <w:rFonts w:eastAsia="Times New Roman" w:cs="Arial"/>
          <w:color w:val="000000"/>
          <w:sz w:val="24"/>
          <w:szCs w:val="24"/>
        </w:rPr>
        <w:t xml:space="preserve"> </w:t>
      </w:r>
    </w:p>
    <w:p w:rsidR="00BD5596" w:rsidRDefault="00BD5596" w:rsidP="00BD5596">
      <w:pPr>
        <w:shd w:val="clear" w:color="auto" w:fill="FFFFFF"/>
        <w:spacing w:line="270" w:lineRule="atLeast"/>
        <w:rPr>
          <w:rFonts w:eastAsia="Times New Roman" w:cs="Arial"/>
          <w:color w:val="000000"/>
          <w:sz w:val="24"/>
          <w:szCs w:val="24"/>
        </w:rPr>
      </w:pPr>
      <w:r>
        <w:rPr>
          <w:rFonts w:eastAsia="Times New Roman" w:cs="Arial"/>
          <w:color w:val="000000"/>
          <w:sz w:val="24"/>
          <w:szCs w:val="24"/>
        </w:rPr>
        <w:t xml:space="preserve">Annotation is a powerful tool to aid students in deconstructing complex text.  Cornell Notes have been around for many years and continue to be useful.  Asking students to annotate what they are reading is also a highly recommended research based strategy.  Included in this packet is a Metacognitive Marker chart that you can use with your students.  </w:t>
      </w:r>
    </w:p>
    <w:p w:rsidR="00ED4565" w:rsidRPr="00C3687A" w:rsidRDefault="00BD5596" w:rsidP="00B47B98">
      <w:pPr>
        <w:shd w:val="clear" w:color="auto" w:fill="FFFFFF"/>
        <w:spacing w:line="270" w:lineRule="atLeast"/>
        <w:rPr>
          <w:rFonts w:ascii="Calibri" w:eastAsia="Times New Roman" w:hAnsi="Calibri" w:cs="Times New Roman"/>
          <w:b/>
          <w:bCs/>
          <w:color w:val="000000"/>
          <w:szCs w:val="28"/>
        </w:rPr>
      </w:pPr>
      <w:r>
        <w:rPr>
          <w:rFonts w:eastAsia="Times New Roman" w:cs="Arial"/>
          <w:color w:val="000000"/>
          <w:sz w:val="24"/>
          <w:szCs w:val="24"/>
        </w:rPr>
        <w:t>Additional support materials for Close Reading can be found at the district website</w:t>
      </w:r>
      <w:r w:rsidR="00B47B98">
        <w:rPr>
          <w:rFonts w:eastAsia="Times New Roman" w:cs="Arial"/>
          <w:color w:val="000000"/>
          <w:sz w:val="24"/>
          <w:szCs w:val="24"/>
        </w:rPr>
        <w:t xml:space="preserve"> (Departm</w:t>
      </w:r>
      <w:r w:rsidR="00ED4565" w:rsidRPr="00C3687A">
        <w:rPr>
          <w:rFonts w:ascii="Calibri" w:eastAsia="Times New Roman" w:hAnsi="Calibri" w:cs="Times New Roman"/>
          <w:bCs/>
          <w:color w:val="000000"/>
          <w:szCs w:val="28"/>
        </w:rPr>
        <w:t xml:space="preserve">ents </w:t>
      </w:r>
      <w:r w:rsidR="00ED4565" w:rsidRPr="00C3687A">
        <w:rPr>
          <w:rFonts w:ascii="Calibri" w:eastAsia="Times New Roman" w:hAnsi="Calibri" w:cs="Times New Roman"/>
          <w:bCs/>
          <w:color w:val="000000"/>
          <w:szCs w:val="28"/>
        </w:rPr>
        <w:sym w:font="Symbol" w:char="F0AE"/>
      </w:r>
      <w:r w:rsidR="00ED4565" w:rsidRPr="00C3687A">
        <w:rPr>
          <w:rFonts w:ascii="Calibri" w:eastAsia="Times New Roman" w:hAnsi="Calibri" w:cs="Times New Roman"/>
          <w:bCs/>
          <w:color w:val="000000"/>
          <w:szCs w:val="28"/>
        </w:rPr>
        <w:t xml:space="preserve"> English Language Arts </w:t>
      </w:r>
      <w:r w:rsidR="00ED4565" w:rsidRPr="00C3687A">
        <w:rPr>
          <w:rFonts w:ascii="Calibri" w:eastAsia="Times New Roman" w:hAnsi="Calibri" w:cs="Times New Roman"/>
          <w:bCs/>
          <w:color w:val="000000"/>
          <w:szCs w:val="28"/>
        </w:rPr>
        <w:sym w:font="Symbol" w:char="F0AE"/>
      </w:r>
      <w:r w:rsidR="00ED4565" w:rsidRPr="00C3687A">
        <w:rPr>
          <w:rFonts w:ascii="Calibri" w:eastAsia="Times New Roman" w:hAnsi="Calibri" w:cs="Times New Roman"/>
          <w:bCs/>
          <w:color w:val="000000"/>
          <w:szCs w:val="28"/>
        </w:rPr>
        <w:t xml:space="preserve"> </w:t>
      </w:r>
      <w:proofErr w:type="gramStart"/>
      <w:r w:rsidR="00ED4565" w:rsidRPr="00C3687A">
        <w:rPr>
          <w:rFonts w:ascii="Calibri" w:eastAsia="Times New Roman" w:hAnsi="Calibri" w:cs="Times New Roman"/>
          <w:bCs/>
          <w:color w:val="000000"/>
          <w:szCs w:val="28"/>
        </w:rPr>
        <w:t xml:space="preserve">Secondary </w:t>
      </w:r>
      <w:r w:rsidR="00B47B98">
        <w:rPr>
          <w:rFonts w:ascii="Calibri" w:eastAsia="Times New Roman" w:hAnsi="Calibri" w:cs="Times New Roman"/>
          <w:bCs/>
          <w:color w:val="000000"/>
          <w:szCs w:val="28"/>
        </w:rPr>
        <w:t>)</w:t>
      </w:r>
      <w:proofErr w:type="gramEnd"/>
    </w:p>
    <w:p w:rsidR="00BD5596" w:rsidRDefault="00BD5596" w:rsidP="00BD5596">
      <w:pPr>
        <w:shd w:val="clear" w:color="auto" w:fill="FFFFFF"/>
        <w:spacing w:line="270" w:lineRule="atLeast"/>
        <w:rPr>
          <w:rFonts w:eastAsia="Times New Roman" w:cs="Arial"/>
          <w:color w:val="000000"/>
          <w:sz w:val="24"/>
          <w:szCs w:val="24"/>
        </w:rPr>
      </w:pPr>
    </w:p>
    <w:p w:rsidR="00BD5596" w:rsidRPr="00BD5596" w:rsidRDefault="00BD5596" w:rsidP="00BD5596">
      <w:pPr>
        <w:shd w:val="clear" w:color="auto" w:fill="FFFFFF"/>
        <w:spacing w:line="270" w:lineRule="atLeast"/>
        <w:rPr>
          <w:rFonts w:eastAsia="Times New Roman" w:cs="Arial"/>
          <w:color w:val="000000"/>
          <w:sz w:val="24"/>
          <w:szCs w:val="24"/>
        </w:rPr>
      </w:pPr>
    </w:p>
    <w:p w:rsidR="004F7D06" w:rsidRPr="00BD5596" w:rsidRDefault="004F7D06" w:rsidP="00DA0428">
      <w:pPr>
        <w:spacing w:after="0" w:line="240" w:lineRule="auto"/>
        <w:rPr>
          <w:b/>
          <w:sz w:val="24"/>
          <w:szCs w:val="24"/>
        </w:rPr>
      </w:pPr>
    </w:p>
    <w:sectPr w:rsidR="004F7D06" w:rsidRPr="00BD5596" w:rsidSect="00B22EDD">
      <w:footerReference w:type="default" r:id="rId9"/>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841" w:rsidRDefault="00802841" w:rsidP="00D74F97">
      <w:pPr>
        <w:spacing w:after="0" w:line="240" w:lineRule="auto"/>
      </w:pPr>
      <w:r>
        <w:separator/>
      </w:r>
    </w:p>
  </w:endnote>
  <w:endnote w:type="continuationSeparator" w:id="0">
    <w:p w:rsidR="00802841" w:rsidRDefault="00802841" w:rsidP="00D74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F97" w:rsidRPr="00C9225B" w:rsidRDefault="00ED4565" w:rsidP="00D74F97">
    <w:pPr>
      <w:pStyle w:val="Footer"/>
      <w:rPr>
        <w:sz w:val="20"/>
        <w:szCs w:val="20"/>
      </w:rPr>
    </w:pPr>
    <w:r w:rsidRPr="00C9225B">
      <w:rPr>
        <w:sz w:val="20"/>
        <w:szCs w:val="20"/>
      </w:rPr>
      <w:t>N: ELA-Secondary/</w:t>
    </w:r>
    <w:proofErr w:type="spellStart"/>
    <w:r w:rsidRPr="00C9225B">
      <w:rPr>
        <w:sz w:val="20"/>
        <w:szCs w:val="20"/>
      </w:rPr>
      <w:t>CloseReading</w:t>
    </w:r>
    <w:proofErr w:type="spellEnd"/>
    <w:r w:rsidR="00C9225B" w:rsidRPr="00C9225B">
      <w:rPr>
        <w:sz w:val="20"/>
        <w:szCs w:val="20"/>
      </w:rPr>
      <w:t>-IS</w:t>
    </w:r>
    <w:r w:rsidRPr="00C9225B">
      <w:rPr>
        <w:sz w:val="20"/>
        <w:szCs w:val="20"/>
      </w:rPr>
      <w:t xml:space="preserve">/2014                                            </w:t>
    </w:r>
    <w:r w:rsidR="00C9225B">
      <w:rPr>
        <w:sz w:val="20"/>
        <w:szCs w:val="20"/>
      </w:rPr>
      <w:t xml:space="preserve">                       </w:t>
    </w:r>
    <w:r w:rsidRPr="00C9225B">
      <w:rPr>
        <w:sz w:val="20"/>
        <w:szCs w:val="20"/>
      </w:rPr>
      <w:t xml:space="preserve">Educational Services – </w:t>
    </w:r>
    <w:r w:rsidR="00C9225B" w:rsidRPr="00C9225B">
      <w:rPr>
        <w:sz w:val="20"/>
        <w:szCs w:val="20"/>
      </w:rPr>
      <w:t>Secondary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841" w:rsidRDefault="00802841" w:rsidP="00D74F97">
      <w:pPr>
        <w:spacing w:after="0" w:line="240" w:lineRule="auto"/>
      </w:pPr>
      <w:r>
        <w:separator/>
      </w:r>
    </w:p>
  </w:footnote>
  <w:footnote w:type="continuationSeparator" w:id="0">
    <w:p w:rsidR="00802841" w:rsidRDefault="00802841" w:rsidP="00D74F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E19"/>
    <w:multiLevelType w:val="hybridMultilevel"/>
    <w:tmpl w:val="976CB27A"/>
    <w:lvl w:ilvl="0" w:tplc="3126C62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E2395D"/>
    <w:multiLevelType w:val="multilevel"/>
    <w:tmpl w:val="AA2E571C"/>
    <w:lvl w:ilvl="0">
      <w:start w:val="1"/>
      <w:numFmt w:val="bullet"/>
      <w:lvlText w:val=""/>
      <w:lvlJc w:val="left"/>
      <w:pPr>
        <w:tabs>
          <w:tab w:val="num" w:pos="600"/>
        </w:tabs>
        <w:ind w:left="600" w:hanging="360"/>
      </w:pPr>
      <w:rPr>
        <w:rFonts w:ascii="Symbol" w:hAnsi="Symbol" w:hint="default"/>
        <w:sz w:val="20"/>
      </w:rPr>
    </w:lvl>
    <w:lvl w:ilvl="1">
      <w:start w:val="1"/>
      <w:numFmt w:val="bullet"/>
      <w:lvlText w:val="o"/>
      <w:lvlJc w:val="left"/>
      <w:pPr>
        <w:tabs>
          <w:tab w:val="num" w:pos="1320"/>
        </w:tabs>
        <w:ind w:left="1320" w:hanging="360"/>
      </w:pPr>
      <w:rPr>
        <w:rFonts w:ascii="Courier New" w:hAnsi="Courier New" w:cs="Times New Roman" w:hint="default"/>
        <w:sz w:val="20"/>
      </w:rPr>
    </w:lvl>
    <w:lvl w:ilvl="2">
      <w:start w:val="1"/>
      <w:numFmt w:val="bullet"/>
      <w:lvlText w:val=""/>
      <w:lvlJc w:val="left"/>
      <w:pPr>
        <w:tabs>
          <w:tab w:val="num" w:pos="2040"/>
        </w:tabs>
        <w:ind w:left="2040" w:hanging="360"/>
      </w:pPr>
      <w:rPr>
        <w:rFonts w:ascii="Wingdings" w:hAnsi="Wingdings" w:hint="default"/>
        <w:sz w:val="20"/>
      </w:rPr>
    </w:lvl>
    <w:lvl w:ilvl="3">
      <w:start w:val="1"/>
      <w:numFmt w:val="bullet"/>
      <w:lvlText w:val=""/>
      <w:lvlJc w:val="left"/>
      <w:pPr>
        <w:tabs>
          <w:tab w:val="num" w:pos="2760"/>
        </w:tabs>
        <w:ind w:left="2760" w:hanging="360"/>
      </w:pPr>
      <w:rPr>
        <w:rFonts w:ascii="Wingdings" w:hAnsi="Wingdings" w:hint="default"/>
        <w:sz w:val="20"/>
      </w:rPr>
    </w:lvl>
    <w:lvl w:ilvl="4">
      <w:start w:val="1"/>
      <w:numFmt w:val="bullet"/>
      <w:lvlText w:val=""/>
      <w:lvlJc w:val="left"/>
      <w:pPr>
        <w:tabs>
          <w:tab w:val="num" w:pos="3480"/>
        </w:tabs>
        <w:ind w:left="3480" w:hanging="360"/>
      </w:pPr>
      <w:rPr>
        <w:rFonts w:ascii="Wingdings" w:hAnsi="Wingdings" w:hint="default"/>
        <w:sz w:val="20"/>
      </w:rPr>
    </w:lvl>
    <w:lvl w:ilvl="5">
      <w:start w:val="1"/>
      <w:numFmt w:val="bullet"/>
      <w:lvlText w:val=""/>
      <w:lvlJc w:val="left"/>
      <w:pPr>
        <w:tabs>
          <w:tab w:val="num" w:pos="4200"/>
        </w:tabs>
        <w:ind w:left="4200" w:hanging="360"/>
      </w:pPr>
      <w:rPr>
        <w:rFonts w:ascii="Wingdings" w:hAnsi="Wingdings" w:hint="default"/>
        <w:sz w:val="20"/>
      </w:rPr>
    </w:lvl>
    <w:lvl w:ilvl="6">
      <w:start w:val="1"/>
      <w:numFmt w:val="bullet"/>
      <w:lvlText w:val=""/>
      <w:lvlJc w:val="left"/>
      <w:pPr>
        <w:tabs>
          <w:tab w:val="num" w:pos="4920"/>
        </w:tabs>
        <w:ind w:left="4920" w:hanging="360"/>
      </w:pPr>
      <w:rPr>
        <w:rFonts w:ascii="Wingdings" w:hAnsi="Wingdings" w:hint="default"/>
        <w:sz w:val="20"/>
      </w:rPr>
    </w:lvl>
    <w:lvl w:ilvl="7">
      <w:start w:val="1"/>
      <w:numFmt w:val="bullet"/>
      <w:lvlText w:val=""/>
      <w:lvlJc w:val="left"/>
      <w:pPr>
        <w:tabs>
          <w:tab w:val="num" w:pos="5640"/>
        </w:tabs>
        <w:ind w:left="5640" w:hanging="360"/>
      </w:pPr>
      <w:rPr>
        <w:rFonts w:ascii="Wingdings" w:hAnsi="Wingdings" w:hint="default"/>
        <w:sz w:val="20"/>
      </w:rPr>
    </w:lvl>
    <w:lvl w:ilvl="8">
      <w:start w:val="1"/>
      <w:numFmt w:val="bullet"/>
      <w:lvlText w:val=""/>
      <w:lvlJc w:val="left"/>
      <w:pPr>
        <w:tabs>
          <w:tab w:val="num" w:pos="6360"/>
        </w:tabs>
        <w:ind w:left="6360" w:hanging="360"/>
      </w:pPr>
      <w:rPr>
        <w:rFonts w:ascii="Wingdings" w:hAnsi="Wingdings" w:hint="default"/>
        <w:sz w:val="20"/>
      </w:rPr>
    </w:lvl>
  </w:abstractNum>
  <w:abstractNum w:abstractNumId="2">
    <w:nsid w:val="2AAA01D3"/>
    <w:multiLevelType w:val="hybridMultilevel"/>
    <w:tmpl w:val="67E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C314C3"/>
    <w:multiLevelType w:val="hybridMultilevel"/>
    <w:tmpl w:val="64208236"/>
    <w:lvl w:ilvl="0" w:tplc="ECDC5EA6">
      <w:start w:val="1"/>
      <w:numFmt w:val="bullet"/>
      <w:lvlText w:val="•"/>
      <w:lvlJc w:val="left"/>
      <w:pPr>
        <w:tabs>
          <w:tab w:val="num" w:pos="720"/>
        </w:tabs>
        <w:ind w:left="720" w:hanging="360"/>
      </w:pPr>
      <w:rPr>
        <w:rFonts w:ascii="Arial" w:hAnsi="Arial" w:hint="default"/>
      </w:rPr>
    </w:lvl>
    <w:lvl w:ilvl="1" w:tplc="7FD47946" w:tentative="1">
      <w:start w:val="1"/>
      <w:numFmt w:val="bullet"/>
      <w:lvlText w:val="•"/>
      <w:lvlJc w:val="left"/>
      <w:pPr>
        <w:tabs>
          <w:tab w:val="num" w:pos="1440"/>
        </w:tabs>
        <w:ind w:left="1440" w:hanging="360"/>
      </w:pPr>
      <w:rPr>
        <w:rFonts w:ascii="Arial" w:hAnsi="Arial" w:hint="default"/>
      </w:rPr>
    </w:lvl>
    <w:lvl w:ilvl="2" w:tplc="1980C8DC" w:tentative="1">
      <w:start w:val="1"/>
      <w:numFmt w:val="bullet"/>
      <w:lvlText w:val="•"/>
      <w:lvlJc w:val="left"/>
      <w:pPr>
        <w:tabs>
          <w:tab w:val="num" w:pos="2160"/>
        </w:tabs>
        <w:ind w:left="2160" w:hanging="360"/>
      </w:pPr>
      <w:rPr>
        <w:rFonts w:ascii="Arial" w:hAnsi="Arial" w:hint="default"/>
      </w:rPr>
    </w:lvl>
    <w:lvl w:ilvl="3" w:tplc="1DF46E38" w:tentative="1">
      <w:start w:val="1"/>
      <w:numFmt w:val="bullet"/>
      <w:lvlText w:val="•"/>
      <w:lvlJc w:val="left"/>
      <w:pPr>
        <w:tabs>
          <w:tab w:val="num" w:pos="2880"/>
        </w:tabs>
        <w:ind w:left="2880" w:hanging="360"/>
      </w:pPr>
      <w:rPr>
        <w:rFonts w:ascii="Arial" w:hAnsi="Arial" w:hint="default"/>
      </w:rPr>
    </w:lvl>
    <w:lvl w:ilvl="4" w:tplc="B212E8D6" w:tentative="1">
      <w:start w:val="1"/>
      <w:numFmt w:val="bullet"/>
      <w:lvlText w:val="•"/>
      <w:lvlJc w:val="left"/>
      <w:pPr>
        <w:tabs>
          <w:tab w:val="num" w:pos="3600"/>
        </w:tabs>
        <w:ind w:left="3600" w:hanging="360"/>
      </w:pPr>
      <w:rPr>
        <w:rFonts w:ascii="Arial" w:hAnsi="Arial" w:hint="default"/>
      </w:rPr>
    </w:lvl>
    <w:lvl w:ilvl="5" w:tplc="0226B5DC" w:tentative="1">
      <w:start w:val="1"/>
      <w:numFmt w:val="bullet"/>
      <w:lvlText w:val="•"/>
      <w:lvlJc w:val="left"/>
      <w:pPr>
        <w:tabs>
          <w:tab w:val="num" w:pos="4320"/>
        </w:tabs>
        <w:ind w:left="4320" w:hanging="360"/>
      </w:pPr>
      <w:rPr>
        <w:rFonts w:ascii="Arial" w:hAnsi="Arial" w:hint="default"/>
      </w:rPr>
    </w:lvl>
    <w:lvl w:ilvl="6" w:tplc="58A4FEA6" w:tentative="1">
      <w:start w:val="1"/>
      <w:numFmt w:val="bullet"/>
      <w:lvlText w:val="•"/>
      <w:lvlJc w:val="left"/>
      <w:pPr>
        <w:tabs>
          <w:tab w:val="num" w:pos="5040"/>
        </w:tabs>
        <w:ind w:left="5040" w:hanging="360"/>
      </w:pPr>
      <w:rPr>
        <w:rFonts w:ascii="Arial" w:hAnsi="Arial" w:hint="default"/>
      </w:rPr>
    </w:lvl>
    <w:lvl w:ilvl="7" w:tplc="F07E93C0" w:tentative="1">
      <w:start w:val="1"/>
      <w:numFmt w:val="bullet"/>
      <w:lvlText w:val="•"/>
      <w:lvlJc w:val="left"/>
      <w:pPr>
        <w:tabs>
          <w:tab w:val="num" w:pos="5760"/>
        </w:tabs>
        <w:ind w:left="5760" w:hanging="360"/>
      </w:pPr>
      <w:rPr>
        <w:rFonts w:ascii="Arial" w:hAnsi="Arial" w:hint="default"/>
      </w:rPr>
    </w:lvl>
    <w:lvl w:ilvl="8" w:tplc="BC3A6BA4" w:tentative="1">
      <w:start w:val="1"/>
      <w:numFmt w:val="bullet"/>
      <w:lvlText w:val="•"/>
      <w:lvlJc w:val="left"/>
      <w:pPr>
        <w:tabs>
          <w:tab w:val="num" w:pos="6480"/>
        </w:tabs>
        <w:ind w:left="6480" w:hanging="360"/>
      </w:pPr>
      <w:rPr>
        <w:rFonts w:ascii="Arial" w:hAnsi="Arial" w:hint="default"/>
      </w:rPr>
    </w:lvl>
  </w:abstractNum>
  <w:abstractNum w:abstractNumId="4">
    <w:nsid w:val="4A642091"/>
    <w:multiLevelType w:val="hybridMultilevel"/>
    <w:tmpl w:val="19669F3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04C3EBE"/>
    <w:multiLevelType w:val="hybridMultilevel"/>
    <w:tmpl w:val="93107240"/>
    <w:lvl w:ilvl="0" w:tplc="79CC06C4">
      <w:start w:val="1"/>
      <w:numFmt w:val="bullet"/>
      <w:lvlText w:val=""/>
      <w:lvlJc w:val="left"/>
      <w:pPr>
        <w:tabs>
          <w:tab w:val="num" w:pos="720"/>
        </w:tabs>
        <w:ind w:left="720" w:hanging="360"/>
      </w:pPr>
      <w:rPr>
        <w:rFonts w:ascii="Wingdings 2" w:hAnsi="Wingdings 2" w:hint="default"/>
      </w:rPr>
    </w:lvl>
    <w:lvl w:ilvl="1" w:tplc="0F7C5D14" w:tentative="1">
      <w:start w:val="1"/>
      <w:numFmt w:val="bullet"/>
      <w:lvlText w:val=""/>
      <w:lvlJc w:val="left"/>
      <w:pPr>
        <w:tabs>
          <w:tab w:val="num" w:pos="1440"/>
        </w:tabs>
        <w:ind w:left="1440" w:hanging="360"/>
      </w:pPr>
      <w:rPr>
        <w:rFonts w:ascii="Wingdings 2" w:hAnsi="Wingdings 2" w:hint="default"/>
      </w:rPr>
    </w:lvl>
    <w:lvl w:ilvl="2" w:tplc="53A68880" w:tentative="1">
      <w:start w:val="1"/>
      <w:numFmt w:val="bullet"/>
      <w:lvlText w:val=""/>
      <w:lvlJc w:val="left"/>
      <w:pPr>
        <w:tabs>
          <w:tab w:val="num" w:pos="2160"/>
        </w:tabs>
        <w:ind w:left="2160" w:hanging="360"/>
      </w:pPr>
      <w:rPr>
        <w:rFonts w:ascii="Wingdings 2" w:hAnsi="Wingdings 2" w:hint="default"/>
      </w:rPr>
    </w:lvl>
    <w:lvl w:ilvl="3" w:tplc="1FBCDD12" w:tentative="1">
      <w:start w:val="1"/>
      <w:numFmt w:val="bullet"/>
      <w:lvlText w:val=""/>
      <w:lvlJc w:val="left"/>
      <w:pPr>
        <w:tabs>
          <w:tab w:val="num" w:pos="2880"/>
        </w:tabs>
        <w:ind w:left="2880" w:hanging="360"/>
      </w:pPr>
      <w:rPr>
        <w:rFonts w:ascii="Wingdings 2" w:hAnsi="Wingdings 2" w:hint="default"/>
      </w:rPr>
    </w:lvl>
    <w:lvl w:ilvl="4" w:tplc="782A4624" w:tentative="1">
      <w:start w:val="1"/>
      <w:numFmt w:val="bullet"/>
      <w:lvlText w:val=""/>
      <w:lvlJc w:val="left"/>
      <w:pPr>
        <w:tabs>
          <w:tab w:val="num" w:pos="3600"/>
        </w:tabs>
        <w:ind w:left="3600" w:hanging="360"/>
      </w:pPr>
      <w:rPr>
        <w:rFonts w:ascii="Wingdings 2" w:hAnsi="Wingdings 2" w:hint="default"/>
      </w:rPr>
    </w:lvl>
    <w:lvl w:ilvl="5" w:tplc="3CA28656" w:tentative="1">
      <w:start w:val="1"/>
      <w:numFmt w:val="bullet"/>
      <w:lvlText w:val=""/>
      <w:lvlJc w:val="left"/>
      <w:pPr>
        <w:tabs>
          <w:tab w:val="num" w:pos="4320"/>
        </w:tabs>
        <w:ind w:left="4320" w:hanging="360"/>
      </w:pPr>
      <w:rPr>
        <w:rFonts w:ascii="Wingdings 2" w:hAnsi="Wingdings 2" w:hint="default"/>
      </w:rPr>
    </w:lvl>
    <w:lvl w:ilvl="6" w:tplc="238ADFC8" w:tentative="1">
      <w:start w:val="1"/>
      <w:numFmt w:val="bullet"/>
      <w:lvlText w:val=""/>
      <w:lvlJc w:val="left"/>
      <w:pPr>
        <w:tabs>
          <w:tab w:val="num" w:pos="5040"/>
        </w:tabs>
        <w:ind w:left="5040" w:hanging="360"/>
      </w:pPr>
      <w:rPr>
        <w:rFonts w:ascii="Wingdings 2" w:hAnsi="Wingdings 2" w:hint="default"/>
      </w:rPr>
    </w:lvl>
    <w:lvl w:ilvl="7" w:tplc="B61839C2" w:tentative="1">
      <w:start w:val="1"/>
      <w:numFmt w:val="bullet"/>
      <w:lvlText w:val=""/>
      <w:lvlJc w:val="left"/>
      <w:pPr>
        <w:tabs>
          <w:tab w:val="num" w:pos="5760"/>
        </w:tabs>
        <w:ind w:left="5760" w:hanging="360"/>
      </w:pPr>
      <w:rPr>
        <w:rFonts w:ascii="Wingdings 2" w:hAnsi="Wingdings 2" w:hint="default"/>
      </w:rPr>
    </w:lvl>
    <w:lvl w:ilvl="8" w:tplc="53AEC2B4" w:tentative="1">
      <w:start w:val="1"/>
      <w:numFmt w:val="bullet"/>
      <w:lvlText w:val=""/>
      <w:lvlJc w:val="left"/>
      <w:pPr>
        <w:tabs>
          <w:tab w:val="num" w:pos="6480"/>
        </w:tabs>
        <w:ind w:left="6480" w:hanging="360"/>
      </w:pPr>
      <w:rPr>
        <w:rFonts w:ascii="Wingdings 2" w:hAnsi="Wingdings 2" w:hint="default"/>
      </w:rPr>
    </w:lvl>
  </w:abstractNum>
  <w:abstractNum w:abstractNumId="6">
    <w:nsid w:val="696068BA"/>
    <w:multiLevelType w:val="hybridMultilevel"/>
    <w:tmpl w:val="EAF0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B163B1"/>
    <w:multiLevelType w:val="hybridMultilevel"/>
    <w:tmpl w:val="88661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3"/>
  </w:num>
  <w:num w:numId="4">
    <w:abstractNumId w:val="6"/>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6E1"/>
    <w:rsid w:val="00082041"/>
    <w:rsid w:val="001227FE"/>
    <w:rsid w:val="002D561A"/>
    <w:rsid w:val="003D718D"/>
    <w:rsid w:val="00421DC7"/>
    <w:rsid w:val="004F7D06"/>
    <w:rsid w:val="00530283"/>
    <w:rsid w:val="00567C03"/>
    <w:rsid w:val="00570598"/>
    <w:rsid w:val="00585E1E"/>
    <w:rsid w:val="005D3A2E"/>
    <w:rsid w:val="005E7AB1"/>
    <w:rsid w:val="005F46E1"/>
    <w:rsid w:val="006822CD"/>
    <w:rsid w:val="00802841"/>
    <w:rsid w:val="00804F8C"/>
    <w:rsid w:val="009053F9"/>
    <w:rsid w:val="00944BD9"/>
    <w:rsid w:val="00B22EDD"/>
    <w:rsid w:val="00B47B98"/>
    <w:rsid w:val="00BD5596"/>
    <w:rsid w:val="00C75945"/>
    <w:rsid w:val="00C9225B"/>
    <w:rsid w:val="00D441C7"/>
    <w:rsid w:val="00D74F97"/>
    <w:rsid w:val="00DA0428"/>
    <w:rsid w:val="00DC78A9"/>
    <w:rsid w:val="00DF1678"/>
    <w:rsid w:val="00ED23E3"/>
    <w:rsid w:val="00ED4565"/>
    <w:rsid w:val="00F74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6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46E1"/>
    <w:rPr>
      <w:color w:val="0000FF" w:themeColor="hyperlink"/>
      <w:u w:val="single"/>
    </w:rPr>
  </w:style>
  <w:style w:type="paragraph" w:styleId="ListParagraph">
    <w:name w:val="List Paragraph"/>
    <w:basedOn w:val="Normal"/>
    <w:uiPriority w:val="34"/>
    <w:qFormat/>
    <w:rsid w:val="005F46E1"/>
    <w:pPr>
      <w:ind w:left="720"/>
      <w:contextualSpacing/>
    </w:pPr>
  </w:style>
  <w:style w:type="character" w:styleId="FollowedHyperlink">
    <w:name w:val="FollowedHyperlink"/>
    <w:basedOn w:val="DefaultParagraphFont"/>
    <w:uiPriority w:val="99"/>
    <w:semiHidden/>
    <w:unhideWhenUsed/>
    <w:rsid w:val="00C75945"/>
    <w:rPr>
      <w:color w:val="800080" w:themeColor="followedHyperlink"/>
      <w:u w:val="single"/>
    </w:rPr>
  </w:style>
  <w:style w:type="paragraph" w:styleId="Header">
    <w:name w:val="header"/>
    <w:basedOn w:val="Normal"/>
    <w:link w:val="HeaderChar"/>
    <w:uiPriority w:val="99"/>
    <w:unhideWhenUsed/>
    <w:rsid w:val="00D7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F97"/>
  </w:style>
  <w:style w:type="paragraph" w:styleId="Footer">
    <w:name w:val="footer"/>
    <w:basedOn w:val="Normal"/>
    <w:link w:val="FooterChar"/>
    <w:uiPriority w:val="99"/>
    <w:unhideWhenUsed/>
    <w:rsid w:val="00D7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F97"/>
  </w:style>
  <w:style w:type="paragraph" w:styleId="BalloonText">
    <w:name w:val="Balloon Text"/>
    <w:basedOn w:val="Normal"/>
    <w:link w:val="BalloonTextChar"/>
    <w:uiPriority w:val="99"/>
    <w:semiHidden/>
    <w:unhideWhenUsed/>
    <w:rsid w:val="00ED4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5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6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46E1"/>
    <w:rPr>
      <w:color w:val="0000FF" w:themeColor="hyperlink"/>
      <w:u w:val="single"/>
    </w:rPr>
  </w:style>
  <w:style w:type="paragraph" w:styleId="ListParagraph">
    <w:name w:val="List Paragraph"/>
    <w:basedOn w:val="Normal"/>
    <w:uiPriority w:val="34"/>
    <w:qFormat/>
    <w:rsid w:val="005F46E1"/>
    <w:pPr>
      <w:ind w:left="720"/>
      <w:contextualSpacing/>
    </w:pPr>
  </w:style>
  <w:style w:type="character" w:styleId="FollowedHyperlink">
    <w:name w:val="FollowedHyperlink"/>
    <w:basedOn w:val="DefaultParagraphFont"/>
    <w:uiPriority w:val="99"/>
    <w:semiHidden/>
    <w:unhideWhenUsed/>
    <w:rsid w:val="00C75945"/>
    <w:rPr>
      <w:color w:val="800080" w:themeColor="followedHyperlink"/>
      <w:u w:val="single"/>
    </w:rPr>
  </w:style>
  <w:style w:type="paragraph" w:styleId="Header">
    <w:name w:val="header"/>
    <w:basedOn w:val="Normal"/>
    <w:link w:val="HeaderChar"/>
    <w:uiPriority w:val="99"/>
    <w:unhideWhenUsed/>
    <w:rsid w:val="00D7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F97"/>
  </w:style>
  <w:style w:type="paragraph" w:styleId="Footer">
    <w:name w:val="footer"/>
    <w:basedOn w:val="Normal"/>
    <w:link w:val="FooterChar"/>
    <w:uiPriority w:val="99"/>
    <w:unhideWhenUsed/>
    <w:rsid w:val="00D7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F97"/>
  </w:style>
  <w:style w:type="paragraph" w:styleId="BalloonText">
    <w:name w:val="Balloon Text"/>
    <w:basedOn w:val="Normal"/>
    <w:link w:val="BalloonTextChar"/>
    <w:uiPriority w:val="99"/>
    <w:semiHidden/>
    <w:unhideWhenUsed/>
    <w:rsid w:val="00ED4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5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92510">
      <w:bodyDiv w:val="1"/>
      <w:marLeft w:val="0"/>
      <w:marRight w:val="0"/>
      <w:marTop w:val="0"/>
      <w:marBottom w:val="0"/>
      <w:divBdr>
        <w:top w:val="none" w:sz="0" w:space="0" w:color="auto"/>
        <w:left w:val="none" w:sz="0" w:space="0" w:color="auto"/>
        <w:bottom w:val="none" w:sz="0" w:space="0" w:color="auto"/>
        <w:right w:val="none" w:sz="0" w:space="0" w:color="auto"/>
      </w:divBdr>
      <w:divsChild>
        <w:div w:id="878277754">
          <w:marLeft w:val="0"/>
          <w:marRight w:val="0"/>
          <w:marTop w:val="0"/>
          <w:marBottom w:val="0"/>
          <w:divBdr>
            <w:top w:val="none" w:sz="0" w:space="0" w:color="auto"/>
            <w:left w:val="none" w:sz="0" w:space="0" w:color="auto"/>
            <w:bottom w:val="none" w:sz="0" w:space="0" w:color="auto"/>
            <w:right w:val="none" w:sz="0" w:space="0" w:color="auto"/>
          </w:divBdr>
          <w:divsChild>
            <w:div w:id="2012876859">
              <w:marLeft w:val="0"/>
              <w:marRight w:val="0"/>
              <w:marTop w:val="0"/>
              <w:marBottom w:val="0"/>
              <w:divBdr>
                <w:top w:val="none" w:sz="0" w:space="0" w:color="auto"/>
                <w:left w:val="none" w:sz="0" w:space="0" w:color="auto"/>
                <w:bottom w:val="none" w:sz="0" w:space="0" w:color="auto"/>
                <w:right w:val="none" w:sz="0" w:space="0" w:color="auto"/>
              </w:divBdr>
              <w:divsChild>
                <w:div w:id="1649358635">
                  <w:marLeft w:val="0"/>
                  <w:marRight w:val="0"/>
                  <w:marTop w:val="0"/>
                  <w:marBottom w:val="0"/>
                  <w:divBdr>
                    <w:top w:val="none" w:sz="0" w:space="0" w:color="auto"/>
                    <w:left w:val="none" w:sz="0" w:space="0" w:color="auto"/>
                    <w:bottom w:val="none" w:sz="0" w:space="0" w:color="auto"/>
                    <w:right w:val="none" w:sz="0" w:space="0" w:color="auto"/>
                  </w:divBdr>
                  <w:divsChild>
                    <w:div w:id="2139031508">
                      <w:marLeft w:val="0"/>
                      <w:marRight w:val="0"/>
                      <w:marTop w:val="300"/>
                      <w:marBottom w:val="225"/>
                      <w:divBdr>
                        <w:top w:val="none" w:sz="0" w:space="0" w:color="auto"/>
                        <w:left w:val="none" w:sz="0" w:space="0" w:color="auto"/>
                        <w:bottom w:val="none" w:sz="0" w:space="0" w:color="auto"/>
                        <w:right w:val="none" w:sz="0" w:space="0" w:color="auto"/>
                      </w:divBdr>
                      <w:divsChild>
                        <w:div w:id="1028028558">
                          <w:marLeft w:val="0"/>
                          <w:marRight w:val="0"/>
                          <w:marTop w:val="0"/>
                          <w:marBottom w:val="0"/>
                          <w:divBdr>
                            <w:top w:val="none" w:sz="0" w:space="0" w:color="auto"/>
                            <w:left w:val="none" w:sz="0" w:space="0" w:color="auto"/>
                            <w:bottom w:val="none" w:sz="0" w:space="0" w:color="auto"/>
                            <w:right w:val="none" w:sz="0" w:space="0" w:color="auto"/>
                          </w:divBdr>
                          <w:divsChild>
                            <w:div w:id="2058815156">
                              <w:marLeft w:val="0"/>
                              <w:marRight w:val="0"/>
                              <w:marTop w:val="0"/>
                              <w:marBottom w:val="0"/>
                              <w:divBdr>
                                <w:top w:val="none" w:sz="0" w:space="0" w:color="auto"/>
                                <w:left w:val="none" w:sz="0" w:space="0" w:color="auto"/>
                                <w:bottom w:val="none" w:sz="0" w:space="0" w:color="auto"/>
                                <w:right w:val="none" w:sz="0" w:space="0" w:color="auto"/>
                              </w:divBdr>
                              <w:divsChild>
                                <w:div w:id="1936092868">
                                  <w:marLeft w:val="0"/>
                                  <w:marRight w:val="0"/>
                                  <w:marTop w:val="0"/>
                                  <w:marBottom w:val="0"/>
                                  <w:divBdr>
                                    <w:top w:val="none" w:sz="0" w:space="0" w:color="auto"/>
                                    <w:left w:val="none" w:sz="0" w:space="0" w:color="auto"/>
                                    <w:bottom w:val="none" w:sz="0" w:space="0" w:color="auto"/>
                                    <w:right w:val="none" w:sz="0" w:space="0" w:color="auto"/>
                                  </w:divBdr>
                                  <w:divsChild>
                                    <w:div w:id="487551250">
                                      <w:marLeft w:val="0"/>
                                      <w:marRight w:val="0"/>
                                      <w:marTop w:val="0"/>
                                      <w:marBottom w:val="0"/>
                                      <w:divBdr>
                                        <w:top w:val="none" w:sz="0" w:space="0" w:color="auto"/>
                                        <w:left w:val="none" w:sz="0" w:space="0" w:color="auto"/>
                                        <w:bottom w:val="none" w:sz="0" w:space="0" w:color="auto"/>
                                        <w:right w:val="none" w:sz="0" w:space="0" w:color="auto"/>
                                      </w:divBdr>
                                      <w:divsChild>
                                        <w:div w:id="86462147">
                                          <w:marLeft w:val="0"/>
                                          <w:marRight w:val="0"/>
                                          <w:marTop w:val="0"/>
                                          <w:marBottom w:val="0"/>
                                          <w:divBdr>
                                            <w:top w:val="none" w:sz="0" w:space="0" w:color="auto"/>
                                            <w:left w:val="none" w:sz="0" w:space="0" w:color="auto"/>
                                            <w:bottom w:val="none" w:sz="0" w:space="0" w:color="auto"/>
                                            <w:right w:val="none" w:sz="0" w:space="0" w:color="auto"/>
                                          </w:divBdr>
                                          <w:divsChild>
                                            <w:div w:id="1376271304">
                                              <w:marLeft w:val="0"/>
                                              <w:marRight w:val="0"/>
                                              <w:marTop w:val="0"/>
                                              <w:marBottom w:val="0"/>
                                              <w:divBdr>
                                                <w:top w:val="none" w:sz="0" w:space="0" w:color="auto"/>
                                                <w:left w:val="none" w:sz="0" w:space="0" w:color="auto"/>
                                                <w:bottom w:val="none" w:sz="0" w:space="0" w:color="auto"/>
                                                <w:right w:val="none" w:sz="0" w:space="0" w:color="auto"/>
                                              </w:divBdr>
                                              <w:divsChild>
                                                <w:div w:id="1966347891">
                                                  <w:marLeft w:val="0"/>
                                                  <w:marRight w:val="0"/>
                                                  <w:marTop w:val="0"/>
                                                  <w:marBottom w:val="0"/>
                                                  <w:divBdr>
                                                    <w:top w:val="none" w:sz="0" w:space="0" w:color="auto"/>
                                                    <w:left w:val="none" w:sz="0" w:space="0" w:color="auto"/>
                                                    <w:bottom w:val="none" w:sz="0" w:space="0" w:color="auto"/>
                                                    <w:right w:val="none" w:sz="0" w:space="0" w:color="auto"/>
                                                  </w:divBdr>
                                                  <w:divsChild>
                                                    <w:div w:id="801538033">
                                                      <w:marLeft w:val="0"/>
                                                      <w:marRight w:val="0"/>
                                                      <w:marTop w:val="0"/>
                                                      <w:marBottom w:val="0"/>
                                                      <w:divBdr>
                                                        <w:top w:val="none" w:sz="0" w:space="0" w:color="auto"/>
                                                        <w:left w:val="none" w:sz="0" w:space="0" w:color="auto"/>
                                                        <w:bottom w:val="none" w:sz="0" w:space="0" w:color="auto"/>
                                                        <w:right w:val="none" w:sz="0" w:space="0" w:color="auto"/>
                                                      </w:divBdr>
                                                      <w:divsChild>
                                                        <w:div w:id="107555264">
                                                          <w:marLeft w:val="0"/>
                                                          <w:marRight w:val="0"/>
                                                          <w:marTop w:val="0"/>
                                                          <w:marBottom w:val="0"/>
                                                          <w:divBdr>
                                                            <w:top w:val="none" w:sz="0" w:space="0" w:color="auto"/>
                                                            <w:left w:val="none" w:sz="0" w:space="0" w:color="auto"/>
                                                            <w:bottom w:val="none" w:sz="0" w:space="0" w:color="auto"/>
                                                            <w:right w:val="none" w:sz="0" w:space="0" w:color="auto"/>
                                                          </w:divBdr>
                                                          <w:divsChild>
                                                            <w:div w:id="1255092121">
                                                              <w:blockQuote w:val="1"/>
                                                              <w:marLeft w:val="330"/>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4071938">
      <w:bodyDiv w:val="1"/>
      <w:marLeft w:val="0"/>
      <w:marRight w:val="0"/>
      <w:marTop w:val="0"/>
      <w:marBottom w:val="0"/>
      <w:divBdr>
        <w:top w:val="none" w:sz="0" w:space="0" w:color="auto"/>
        <w:left w:val="none" w:sz="0" w:space="0" w:color="auto"/>
        <w:bottom w:val="none" w:sz="0" w:space="0" w:color="auto"/>
        <w:right w:val="none" w:sz="0" w:space="0" w:color="auto"/>
      </w:divBdr>
    </w:div>
    <w:div w:id="1990207126">
      <w:bodyDiv w:val="1"/>
      <w:marLeft w:val="0"/>
      <w:marRight w:val="0"/>
      <w:marTop w:val="0"/>
      <w:marBottom w:val="0"/>
      <w:divBdr>
        <w:top w:val="none" w:sz="0" w:space="0" w:color="auto"/>
        <w:left w:val="none" w:sz="0" w:space="0" w:color="auto"/>
        <w:bottom w:val="none" w:sz="0" w:space="0" w:color="auto"/>
        <w:right w:val="none" w:sz="0" w:space="0" w:color="auto"/>
      </w:divBdr>
      <w:divsChild>
        <w:div w:id="1112288482">
          <w:marLeft w:val="461"/>
          <w:marRight w:val="0"/>
          <w:marTop w:val="0"/>
          <w:marBottom w:val="0"/>
          <w:divBdr>
            <w:top w:val="none" w:sz="0" w:space="0" w:color="auto"/>
            <w:left w:val="none" w:sz="0" w:space="0" w:color="auto"/>
            <w:bottom w:val="none" w:sz="0" w:space="0" w:color="auto"/>
            <w:right w:val="none" w:sz="0" w:space="0" w:color="auto"/>
          </w:divBdr>
        </w:div>
      </w:divsChild>
    </w:div>
    <w:div w:id="1995066149">
      <w:bodyDiv w:val="1"/>
      <w:marLeft w:val="0"/>
      <w:marRight w:val="0"/>
      <w:marTop w:val="0"/>
      <w:marBottom w:val="0"/>
      <w:divBdr>
        <w:top w:val="none" w:sz="0" w:space="0" w:color="auto"/>
        <w:left w:val="none" w:sz="0" w:space="0" w:color="auto"/>
        <w:bottom w:val="none" w:sz="0" w:space="0" w:color="auto"/>
        <w:right w:val="none" w:sz="0" w:space="0" w:color="auto"/>
      </w:divBdr>
      <w:divsChild>
        <w:div w:id="41801688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adXdTXEzmz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Noland, Cheryl</dc:creator>
  <cp:lastModifiedBy>Noland, Cheryl</cp:lastModifiedBy>
  <cp:revision>2</cp:revision>
  <cp:lastPrinted>2014-01-29T21:56:00Z</cp:lastPrinted>
  <dcterms:created xsi:type="dcterms:W3CDTF">2014-10-06T21:33:00Z</dcterms:created>
  <dcterms:modified xsi:type="dcterms:W3CDTF">2014-10-06T21:33:00Z</dcterms:modified>
</cp:coreProperties>
</file>