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A3" w:rsidRPr="000B2DA3" w:rsidRDefault="000B2DA3" w:rsidP="000B2DA3">
      <w:pPr>
        <w:spacing w:after="0" w:line="360" w:lineRule="atLeast"/>
        <w:jc w:val="center"/>
        <w:rPr>
          <w:rFonts w:asciiTheme="majorHAnsi" w:hAnsiTheme="majorHAnsi" w:cs="Helvetica"/>
          <w:b/>
          <w:sz w:val="36"/>
          <w:szCs w:val="36"/>
        </w:rPr>
      </w:pPr>
      <w:r w:rsidRPr="000B2DA3">
        <w:rPr>
          <w:rFonts w:asciiTheme="majorHAnsi" w:hAnsiTheme="majorHAnsi" w:cs="Helvetica"/>
          <w:b/>
          <w:sz w:val="36"/>
          <w:szCs w:val="36"/>
        </w:rPr>
        <w:t>Guidelines for an Effective Close Read</w:t>
      </w:r>
    </w:p>
    <w:p w:rsidR="000B2DA3" w:rsidRDefault="000B2DA3" w:rsidP="000B2DA3">
      <w:pPr>
        <w:spacing w:after="0" w:line="360" w:lineRule="atLeast"/>
        <w:rPr>
          <w:rFonts w:ascii="Droid Sans" w:hAnsi="Droid Sans" w:cs="Helvetica"/>
          <w:color w:val="555555"/>
          <w:sz w:val="21"/>
          <w:szCs w:val="21"/>
        </w:rPr>
      </w:pPr>
    </w:p>
    <w:p w:rsidR="000B2DA3" w:rsidRDefault="000B2DA3" w:rsidP="000B2DA3">
      <w:pPr>
        <w:spacing w:after="0" w:line="360" w:lineRule="atLeast"/>
        <w:rPr>
          <w:rFonts w:ascii="Droid Sans" w:hAnsi="Droid Sans" w:cs="Helvetica"/>
          <w:color w:val="555555"/>
          <w:sz w:val="21"/>
          <w:szCs w:val="21"/>
        </w:rPr>
      </w:pPr>
    </w:p>
    <w:p w:rsidR="000B2DA3" w:rsidRDefault="000B2DA3" w:rsidP="000B2DA3">
      <w:pPr>
        <w:spacing w:after="0" w:line="360" w:lineRule="atLeast"/>
        <w:rPr>
          <w:rFonts w:ascii="Droid Sans" w:hAnsi="Droid Sans" w:cs="Helvetica"/>
          <w:color w:val="555555"/>
          <w:sz w:val="21"/>
          <w:szCs w:val="21"/>
        </w:rPr>
      </w:pPr>
      <w:r w:rsidRPr="000B2DA3">
        <w:rPr>
          <w:rFonts w:ascii="Droid Sans" w:eastAsia="Times New Roman" w:hAnsi="Droid Sans" w:cs="Helvetica"/>
          <w:noProof/>
          <w:color w:val="074D7C"/>
          <w:sz w:val="21"/>
          <w:szCs w:val="21"/>
        </w:rPr>
        <w:drawing>
          <wp:anchor distT="0" distB="0" distL="114300" distR="114300" simplePos="0" relativeHeight="251658240" behindDoc="0" locked="0" layoutInCell="1" allowOverlap="1" wp14:anchorId="0A876CDF" wp14:editId="08684B6E">
            <wp:simplePos x="0" y="0"/>
            <wp:positionH relativeFrom="column">
              <wp:posOffset>95250</wp:posOffset>
            </wp:positionH>
            <wp:positionV relativeFrom="paragraph">
              <wp:posOffset>123825</wp:posOffset>
            </wp:positionV>
            <wp:extent cx="2857500" cy="1895475"/>
            <wp:effectExtent l="0" t="0" r="0" b="9525"/>
            <wp:wrapSquare wrapText="bothSides"/>
            <wp:docPr id="1" name="Picture 1" descr="common-core-close-rea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core-close-reading">
                      <a:hlinkClick r:id="rId8"/>
                    </pic:cNvPr>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Effect>
                                <a14:brightnessContrast bright="31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DA3" w:rsidRDefault="000B2DA3" w:rsidP="000B2DA3">
      <w:pPr>
        <w:spacing w:after="0" w:line="360" w:lineRule="atLeast"/>
        <w:rPr>
          <w:rFonts w:ascii="Droid Sans" w:hAnsi="Droid Sans" w:cs="Helvetica"/>
          <w:color w:val="555555"/>
          <w:sz w:val="21"/>
          <w:szCs w:val="21"/>
        </w:rPr>
      </w:pPr>
    </w:p>
    <w:p w:rsidR="000B2DA3" w:rsidRPr="000B2DA3" w:rsidRDefault="000B2DA3" w:rsidP="000B2DA3">
      <w:pPr>
        <w:spacing w:after="0" w:line="360" w:lineRule="atLeast"/>
        <w:rPr>
          <w:rFonts w:asciiTheme="majorHAnsi" w:hAnsiTheme="majorHAnsi" w:cs="Helvetica"/>
          <w:color w:val="555555"/>
          <w:sz w:val="24"/>
          <w:szCs w:val="24"/>
        </w:rPr>
      </w:pPr>
      <w:r w:rsidRPr="000B2DA3">
        <w:rPr>
          <w:rFonts w:asciiTheme="majorHAnsi" w:hAnsiTheme="majorHAnsi" w:cs="Helvetica"/>
          <w:color w:val="555555"/>
          <w:sz w:val="24"/>
          <w:szCs w:val="24"/>
        </w:rPr>
        <w:t>Close reading is kind of like the claw game — the work of close reading is the analyzing the stuff animals, choosing carefully, aligning the claw, going down, and grabbing; the pay-off is when this work is pulled out into the real world for discussion, debate, or writing.</w:t>
      </w:r>
    </w:p>
    <w:p w:rsidR="000B2DA3" w:rsidRPr="000B2DA3" w:rsidRDefault="000B2DA3" w:rsidP="000B2DA3">
      <w:pPr>
        <w:spacing w:after="0" w:line="360" w:lineRule="atLeast"/>
        <w:rPr>
          <w:rFonts w:asciiTheme="majorHAnsi" w:eastAsia="Times New Roman" w:hAnsiTheme="majorHAnsi" w:cs="Helvetica"/>
          <w:color w:val="555555"/>
          <w:sz w:val="24"/>
          <w:szCs w:val="24"/>
        </w:rPr>
      </w:pPr>
    </w:p>
    <w:p w:rsidR="000B2DA3" w:rsidRPr="000B2DA3" w:rsidRDefault="000B2DA3" w:rsidP="000B2DA3">
      <w:pPr>
        <w:numPr>
          <w:ilvl w:val="0"/>
          <w:numId w:val="1"/>
        </w:numPr>
        <w:spacing w:before="100" w:beforeAutospacing="1" w:after="100" w:afterAutospacing="1" w:line="360" w:lineRule="atLeast"/>
        <w:rPr>
          <w:rFonts w:asciiTheme="majorHAnsi" w:eastAsia="Times New Roman" w:hAnsiTheme="majorHAnsi" w:cs="Helvetica"/>
          <w:color w:val="555555"/>
          <w:sz w:val="24"/>
          <w:szCs w:val="24"/>
        </w:rPr>
      </w:pPr>
      <w:r w:rsidRPr="000B2DA3">
        <w:rPr>
          <w:rFonts w:asciiTheme="majorHAnsi" w:eastAsia="Times New Roman" w:hAnsiTheme="majorHAnsi" w:cs="Helvetica"/>
          <w:b/>
          <w:bCs/>
          <w:color w:val="555555"/>
          <w:sz w:val="24"/>
          <w:szCs w:val="24"/>
        </w:rPr>
        <w:t>Introduce complex vocabulary:</w:t>
      </w:r>
      <w:r w:rsidRPr="000B2DA3">
        <w:rPr>
          <w:rFonts w:asciiTheme="majorHAnsi" w:eastAsia="Times New Roman" w:hAnsiTheme="majorHAnsi" w:cs="Helvetica"/>
          <w:color w:val="555555"/>
          <w:sz w:val="24"/>
          <w:szCs w:val="24"/>
        </w:rPr>
        <w:t xml:space="preserve"> At most, we’ll explicitly teach/introduce 10 vocabulary words in a given document. We usually choose these words based on how crucial they are to understanding the piece and/or how difficult or unfamiliar we think they’ll be to our average students. </w:t>
      </w:r>
    </w:p>
    <w:p w:rsidR="000B2DA3" w:rsidRPr="000B2DA3" w:rsidRDefault="000B2DA3" w:rsidP="000B2DA3">
      <w:pPr>
        <w:numPr>
          <w:ilvl w:val="0"/>
          <w:numId w:val="1"/>
        </w:numPr>
        <w:spacing w:before="100" w:beforeAutospacing="1" w:after="100" w:afterAutospacing="1" w:line="360" w:lineRule="atLeast"/>
        <w:rPr>
          <w:rFonts w:asciiTheme="majorHAnsi" w:eastAsia="Times New Roman" w:hAnsiTheme="majorHAnsi" w:cs="Helvetica"/>
          <w:color w:val="555555"/>
          <w:sz w:val="24"/>
          <w:szCs w:val="24"/>
        </w:rPr>
      </w:pPr>
      <w:r w:rsidRPr="000B2DA3">
        <w:rPr>
          <w:rFonts w:asciiTheme="majorHAnsi" w:eastAsia="Times New Roman" w:hAnsiTheme="majorHAnsi" w:cs="Helvetica"/>
          <w:b/>
          <w:bCs/>
          <w:color w:val="555555"/>
          <w:sz w:val="24"/>
          <w:szCs w:val="24"/>
        </w:rPr>
        <w:t>Establish a purpose:</w:t>
      </w:r>
      <w:r w:rsidRPr="000B2DA3">
        <w:rPr>
          <w:rFonts w:asciiTheme="majorHAnsi" w:eastAsia="Times New Roman" w:hAnsiTheme="majorHAnsi" w:cs="Helvetica"/>
          <w:color w:val="555555"/>
          <w:sz w:val="24"/>
          <w:szCs w:val="24"/>
        </w:rPr>
        <w:t xml:space="preserve"> This is where we try to hook our kids into the text. We might give background information, read an interesting section, or connect it to prior learning. We then seek to give students a clear, legitimate task or purpose. </w:t>
      </w:r>
    </w:p>
    <w:p w:rsidR="000B2DA3" w:rsidRPr="000B2DA3" w:rsidRDefault="000B2DA3" w:rsidP="000B2DA3">
      <w:pPr>
        <w:numPr>
          <w:ilvl w:val="0"/>
          <w:numId w:val="1"/>
        </w:numPr>
        <w:spacing w:before="100" w:beforeAutospacing="1" w:after="100" w:afterAutospacing="1" w:line="360" w:lineRule="atLeast"/>
        <w:rPr>
          <w:rFonts w:asciiTheme="majorHAnsi" w:eastAsia="Times New Roman" w:hAnsiTheme="majorHAnsi" w:cs="Helvetica"/>
          <w:color w:val="555555"/>
          <w:sz w:val="24"/>
          <w:szCs w:val="24"/>
        </w:rPr>
      </w:pPr>
      <w:r w:rsidRPr="000B2DA3">
        <w:rPr>
          <w:rFonts w:asciiTheme="majorHAnsi" w:eastAsia="Times New Roman" w:hAnsiTheme="majorHAnsi" w:cs="Helvetica"/>
          <w:b/>
          <w:bCs/>
          <w:color w:val="555555"/>
          <w:sz w:val="24"/>
          <w:szCs w:val="24"/>
        </w:rPr>
        <w:t xml:space="preserve">Model higher-order reading/thinking: </w:t>
      </w:r>
      <w:r w:rsidRPr="000B2DA3">
        <w:rPr>
          <w:rFonts w:asciiTheme="majorHAnsi" w:eastAsia="Times New Roman" w:hAnsiTheme="majorHAnsi" w:cs="Helvetica"/>
          <w:color w:val="555555"/>
          <w:sz w:val="24"/>
          <w:szCs w:val="24"/>
        </w:rPr>
        <w:t>Here, we just read aloud a portion of the text, “showing” our thinking as we go through a paragraph or two. We try to show students how we stay focused on a reading purpose, how we appreciate craft, how we grapple with unfamiliar vocabulary, and how we annotate.</w:t>
      </w:r>
    </w:p>
    <w:p w:rsidR="000B2DA3" w:rsidRPr="000B2DA3" w:rsidRDefault="000B2DA3" w:rsidP="000B2DA3">
      <w:pPr>
        <w:numPr>
          <w:ilvl w:val="0"/>
          <w:numId w:val="1"/>
        </w:numPr>
        <w:spacing w:before="100" w:beforeAutospacing="1" w:after="100" w:afterAutospacing="1" w:line="360" w:lineRule="atLeast"/>
        <w:rPr>
          <w:rFonts w:asciiTheme="majorHAnsi" w:eastAsia="Times New Roman" w:hAnsiTheme="majorHAnsi" w:cs="Helvetica"/>
          <w:color w:val="555555"/>
          <w:sz w:val="24"/>
          <w:szCs w:val="24"/>
        </w:rPr>
      </w:pPr>
      <w:r w:rsidRPr="000B2DA3">
        <w:rPr>
          <w:rFonts w:asciiTheme="majorHAnsi" w:eastAsia="Times New Roman" w:hAnsiTheme="majorHAnsi" w:cs="Helvetica"/>
          <w:b/>
          <w:bCs/>
          <w:color w:val="555555"/>
          <w:sz w:val="24"/>
          <w:szCs w:val="24"/>
        </w:rPr>
        <w:t>Partner practice:</w:t>
      </w:r>
      <w:r w:rsidRPr="000B2DA3">
        <w:rPr>
          <w:rFonts w:asciiTheme="majorHAnsi" w:eastAsia="Times New Roman" w:hAnsiTheme="majorHAnsi" w:cs="Helvetica"/>
          <w:color w:val="555555"/>
          <w:sz w:val="24"/>
          <w:szCs w:val="24"/>
        </w:rPr>
        <w:t xml:space="preserve"> After modeling, we set the students loose on a paragraph or two, but instead of having </w:t>
      </w:r>
      <w:proofErr w:type="gramStart"/>
      <w:r w:rsidRPr="000B2DA3">
        <w:rPr>
          <w:rFonts w:asciiTheme="majorHAnsi" w:eastAsia="Times New Roman" w:hAnsiTheme="majorHAnsi" w:cs="Helvetica"/>
          <w:color w:val="555555"/>
          <w:sz w:val="24"/>
          <w:szCs w:val="24"/>
        </w:rPr>
        <w:t>them</w:t>
      </w:r>
      <w:proofErr w:type="gramEnd"/>
      <w:r w:rsidRPr="000B2DA3">
        <w:rPr>
          <w:rFonts w:asciiTheme="majorHAnsi" w:eastAsia="Times New Roman" w:hAnsiTheme="majorHAnsi" w:cs="Helvetica"/>
          <w:color w:val="555555"/>
          <w:sz w:val="24"/>
          <w:szCs w:val="24"/>
        </w:rPr>
        <w:t xml:space="preserve"> read independently we may ask them to read aloud in pairs, annotating as they go. When finished, we have them share something they annotated. This forces them to stop and think while they are reading.</w:t>
      </w:r>
    </w:p>
    <w:p w:rsidR="000B2DA3" w:rsidRPr="000B2DA3" w:rsidRDefault="000B2DA3" w:rsidP="000B2DA3">
      <w:pPr>
        <w:numPr>
          <w:ilvl w:val="0"/>
          <w:numId w:val="1"/>
        </w:numPr>
        <w:spacing w:before="100" w:beforeAutospacing="1" w:after="100" w:afterAutospacing="1" w:line="360" w:lineRule="atLeast"/>
        <w:rPr>
          <w:rFonts w:asciiTheme="majorHAnsi" w:eastAsia="Times New Roman" w:hAnsiTheme="majorHAnsi" w:cs="Helvetica"/>
          <w:color w:val="555555"/>
          <w:sz w:val="24"/>
          <w:szCs w:val="24"/>
        </w:rPr>
      </w:pPr>
      <w:r w:rsidRPr="000B2DA3">
        <w:rPr>
          <w:rFonts w:asciiTheme="majorHAnsi" w:eastAsia="Times New Roman" w:hAnsiTheme="majorHAnsi" w:cs="Helvetica"/>
          <w:b/>
          <w:bCs/>
          <w:color w:val="555555"/>
          <w:sz w:val="24"/>
          <w:szCs w:val="24"/>
        </w:rPr>
        <w:t>Check for understanding:</w:t>
      </w:r>
      <w:r w:rsidRPr="000B2DA3">
        <w:rPr>
          <w:rFonts w:asciiTheme="majorHAnsi" w:eastAsia="Times New Roman" w:hAnsiTheme="majorHAnsi" w:cs="Helvetica"/>
          <w:color w:val="555555"/>
          <w:sz w:val="24"/>
          <w:szCs w:val="24"/>
        </w:rPr>
        <w:t xml:space="preserve"> When our students are working in pairs or independently, we walk around, monitoring their work. Are they creating useful annotations? Are they slowing down enough to record their thinking in response to the text?</w:t>
      </w:r>
    </w:p>
    <w:p w:rsidR="000B2DA3" w:rsidRPr="000B2DA3" w:rsidRDefault="000B2DA3" w:rsidP="000B2DA3">
      <w:pPr>
        <w:numPr>
          <w:ilvl w:val="0"/>
          <w:numId w:val="1"/>
        </w:numPr>
        <w:spacing w:before="100" w:beforeAutospacing="1" w:after="100" w:afterAutospacing="1" w:line="360" w:lineRule="atLeast"/>
        <w:rPr>
          <w:rFonts w:asciiTheme="majorHAnsi" w:eastAsia="Times New Roman" w:hAnsiTheme="majorHAnsi" w:cs="Helvetica"/>
          <w:color w:val="555555"/>
          <w:sz w:val="24"/>
          <w:szCs w:val="24"/>
        </w:rPr>
      </w:pPr>
      <w:r w:rsidRPr="000B2DA3">
        <w:rPr>
          <w:rFonts w:asciiTheme="majorHAnsi" w:eastAsia="Times New Roman" w:hAnsiTheme="majorHAnsi" w:cs="Helvetica"/>
          <w:b/>
          <w:bCs/>
          <w:color w:val="555555"/>
          <w:sz w:val="24"/>
          <w:szCs w:val="24"/>
        </w:rPr>
        <w:t>Independent practice:</w:t>
      </w:r>
      <w:r w:rsidRPr="000B2DA3">
        <w:rPr>
          <w:rFonts w:asciiTheme="majorHAnsi" w:eastAsia="Times New Roman" w:hAnsiTheme="majorHAnsi" w:cs="Helvetica"/>
          <w:color w:val="555555"/>
          <w:sz w:val="24"/>
          <w:szCs w:val="24"/>
        </w:rPr>
        <w:t xml:space="preserve"> Finally, the students are cut loose. Our goal is to give them at least two shots at this every week.</w:t>
      </w:r>
    </w:p>
    <w:p w:rsidR="00D6178C" w:rsidRPr="000B2DA3" w:rsidRDefault="00D6178C">
      <w:pPr>
        <w:rPr>
          <w:rFonts w:asciiTheme="majorHAnsi" w:hAnsiTheme="majorHAnsi"/>
          <w:sz w:val="24"/>
          <w:szCs w:val="24"/>
        </w:rPr>
      </w:pPr>
      <w:bookmarkStart w:id="0" w:name="_GoBack"/>
      <w:bookmarkEnd w:id="0"/>
    </w:p>
    <w:sectPr w:rsidR="00D6178C" w:rsidRPr="000B2DA3" w:rsidSect="000B2DA3">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A3" w:rsidRDefault="009837A3" w:rsidP="00564730">
      <w:pPr>
        <w:spacing w:after="0" w:line="240" w:lineRule="auto"/>
      </w:pPr>
      <w:r>
        <w:separator/>
      </w:r>
    </w:p>
  </w:endnote>
  <w:endnote w:type="continuationSeparator" w:id="0">
    <w:p w:rsidR="009837A3" w:rsidRDefault="009837A3" w:rsidP="0056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30" w:rsidRDefault="00564730">
    <w:pPr>
      <w:pStyle w:val="Footer"/>
    </w:pPr>
    <w:r>
      <w:t>N: ELA-Secondary/</w:t>
    </w:r>
    <w:proofErr w:type="spellStart"/>
    <w:r>
      <w:t>CloseReading</w:t>
    </w:r>
    <w:r w:rsidR="00AE72CD">
      <w:t>Guidelines</w:t>
    </w:r>
    <w:proofErr w:type="spellEnd"/>
    <w:r>
      <w:t xml:space="preserve">-IS/2014                                                    Ed. Services – Secondary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A3" w:rsidRDefault="009837A3" w:rsidP="00564730">
      <w:pPr>
        <w:spacing w:after="0" w:line="240" w:lineRule="auto"/>
      </w:pPr>
      <w:r>
        <w:separator/>
      </w:r>
    </w:p>
  </w:footnote>
  <w:footnote w:type="continuationSeparator" w:id="0">
    <w:p w:rsidR="009837A3" w:rsidRDefault="009837A3" w:rsidP="00564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3450C"/>
    <w:multiLevelType w:val="multilevel"/>
    <w:tmpl w:val="301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A3"/>
    <w:rsid w:val="000B2DA3"/>
    <w:rsid w:val="00564730"/>
    <w:rsid w:val="009837A3"/>
    <w:rsid w:val="00AE72CD"/>
    <w:rsid w:val="00D6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DA3"/>
    <w:rPr>
      <w:rFonts w:ascii="Tahoma" w:hAnsi="Tahoma" w:cs="Tahoma"/>
      <w:sz w:val="16"/>
      <w:szCs w:val="16"/>
    </w:rPr>
  </w:style>
  <w:style w:type="character" w:styleId="Hyperlink">
    <w:name w:val="Hyperlink"/>
    <w:basedOn w:val="DefaultParagraphFont"/>
    <w:uiPriority w:val="99"/>
    <w:semiHidden/>
    <w:unhideWhenUsed/>
    <w:rsid w:val="000B2DA3"/>
    <w:rPr>
      <w:strike w:val="0"/>
      <w:dstrike w:val="0"/>
      <w:color w:val="598431"/>
      <w:u w:val="none"/>
      <w:effect w:val="none"/>
    </w:rPr>
  </w:style>
  <w:style w:type="character" w:styleId="Strong">
    <w:name w:val="Strong"/>
    <w:basedOn w:val="DefaultParagraphFont"/>
    <w:uiPriority w:val="22"/>
    <w:qFormat/>
    <w:rsid w:val="000B2DA3"/>
    <w:rPr>
      <w:b/>
      <w:bCs/>
    </w:rPr>
  </w:style>
  <w:style w:type="paragraph" w:styleId="Header">
    <w:name w:val="header"/>
    <w:basedOn w:val="Normal"/>
    <w:link w:val="HeaderChar"/>
    <w:uiPriority w:val="99"/>
    <w:unhideWhenUsed/>
    <w:rsid w:val="0056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730"/>
  </w:style>
  <w:style w:type="paragraph" w:styleId="Footer">
    <w:name w:val="footer"/>
    <w:basedOn w:val="Normal"/>
    <w:link w:val="FooterChar"/>
    <w:uiPriority w:val="99"/>
    <w:unhideWhenUsed/>
    <w:rsid w:val="0056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DA3"/>
    <w:rPr>
      <w:rFonts w:ascii="Tahoma" w:hAnsi="Tahoma" w:cs="Tahoma"/>
      <w:sz w:val="16"/>
      <w:szCs w:val="16"/>
    </w:rPr>
  </w:style>
  <w:style w:type="character" w:styleId="Hyperlink">
    <w:name w:val="Hyperlink"/>
    <w:basedOn w:val="DefaultParagraphFont"/>
    <w:uiPriority w:val="99"/>
    <w:semiHidden/>
    <w:unhideWhenUsed/>
    <w:rsid w:val="000B2DA3"/>
    <w:rPr>
      <w:strike w:val="0"/>
      <w:dstrike w:val="0"/>
      <w:color w:val="598431"/>
      <w:u w:val="none"/>
      <w:effect w:val="none"/>
    </w:rPr>
  </w:style>
  <w:style w:type="character" w:styleId="Strong">
    <w:name w:val="Strong"/>
    <w:basedOn w:val="DefaultParagraphFont"/>
    <w:uiPriority w:val="22"/>
    <w:qFormat/>
    <w:rsid w:val="000B2DA3"/>
    <w:rPr>
      <w:b/>
      <w:bCs/>
    </w:rPr>
  </w:style>
  <w:style w:type="paragraph" w:styleId="Header">
    <w:name w:val="header"/>
    <w:basedOn w:val="Normal"/>
    <w:link w:val="HeaderChar"/>
    <w:uiPriority w:val="99"/>
    <w:unhideWhenUsed/>
    <w:rsid w:val="0056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730"/>
  </w:style>
  <w:style w:type="paragraph" w:styleId="Footer">
    <w:name w:val="footer"/>
    <w:basedOn w:val="Normal"/>
    <w:link w:val="FooterChar"/>
    <w:uiPriority w:val="99"/>
    <w:unhideWhenUsed/>
    <w:rsid w:val="0056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827">
      <w:bodyDiv w:val="1"/>
      <w:marLeft w:val="0"/>
      <w:marRight w:val="0"/>
      <w:marTop w:val="0"/>
      <w:marBottom w:val="0"/>
      <w:divBdr>
        <w:top w:val="single" w:sz="2" w:space="0" w:color="000000"/>
        <w:left w:val="none" w:sz="0" w:space="0" w:color="auto"/>
        <w:bottom w:val="none" w:sz="0" w:space="0" w:color="auto"/>
        <w:right w:val="none" w:sz="0" w:space="0" w:color="auto"/>
      </w:divBdr>
      <w:divsChild>
        <w:div w:id="2099524455">
          <w:marLeft w:val="0"/>
          <w:marRight w:val="0"/>
          <w:marTop w:val="0"/>
          <w:marBottom w:val="0"/>
          <w:divBdr>
            <w:top w:val="none" w:sz="0" w:space="0" w:color="auto"/>
            <w:left w:val="none" w:sz="0" w:space="0" w:color="auto"/>
            <w:bottom w:val="none" w:sz="0" w:space="0" w:color="auto"/>
            <w:right w:val="none" w:sz="0" w:space="0" w:color="auto"/>
          </w:divBdr>
          <w:divsChild>
            <w:div w:id="698050267">
              <w:marLeft w:val="0"/>
              <w:marRight w:val="0"/>
              <w:marTop w:val="0"/>
              <w:marBottom w:val="0"/>
              <w:divBdr>
                <w:top w:val="none" w:sz="0" w:space="0" w:color="auto"/>
                <w:left w:val="none" w:sz="0" w:space="0" w:color="auto"/>
                <w:bottom w:val="none" w:sz="0" w:space="0" w:color="auto"/>
                <w:right w:val="none" w:sz="0" w:space="0" w:color="auto"/>
              </w:divBdr>
              <w:divsChild>
                <w:div w:id="1822455934">
                  <w:marLeft w:val="0"/>
                  <w:marRight w:val="0"/>
                  <w:marTop w:val="0"/>
                  <w:marBottom w:val="0"/>
                  <w:divBdr>
                    <w:top w:val="none" w:sz="0" w:space="0" w:color="auto"/>
                    <w:left w:val="none" w:sz="0" w:space="0" w:color="auto"/>
                    <w:bottom w:val="none" w:sz="0" w:space="0" w:color="auto"/>
                    <w:right w:val="none" w:sz="0" w:space="0" w:color="auto"/>
                  </w:divBdr>
                  <w:divsChild>
                    <w:div w:id="2680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7648">
      <w:bodyDiv w:val="1"/>
      <w:marLeft w:val="0"/>
      <w:marRight w:val="0"/>
      <w:marTop w:val="0"/>
      <w:marBottom w:val="0"/>
      <w:divBdr>
        <w:top w:val="single" w:sz="2" w:space="0" w:color="000000"/>
        <w:left w:val="none" w:sz="0" w:space="0" w:color="auto"/>
        <w:bottom w:val="none" w:sz="0" w:space="0" w:color="auto"/>
        <w:right w:val="none" w:sz="0" w:space="0" w:color="auto"/>
      </w:divBdr>
      <w:divsChild>
        <w:div w:id="1143235361">
          <w:marLeft w:val="0"/>
          <w:marRight w:val="0"/>
          <w:marTop w:val="0"/>
          <w:marBottom w:val="0"/>
          <w:divBdr>
            <w:top w:val="none" w:sz="0" w:space="0" w:color="auto"/>
            <w:left w:val="none" w:sz="0" w:space="0" w:color="auto"/>
            <w:bottom w:val="none" w:sz="0" w:space="0" w:color="auto"/>
            <w:right w:val="none" w:sz="0" w:space="0" w:color="auto"/>
          </w:divBdr>
          <w:divsChild>
            <w:div w:id="256331096">
              <w:marLeft w:val="0"/>
              <w:marRight w:val="0"/>
              <w:marTop w:val="0"/>
              <w:marBottom w:val="0"/>
              <w:divBdr>
                <w:top w:val="none" w:sz="0" w:space="0" w:color="auto"/>
                <w:left w:val="none" w:sz="0" w:space="0" w:color="auto"/>
                <w:bottom w:val="none" w:sz="0" w:space="0" w:color="auto"/>
                <w:right w:val="none" w:sz="0" w:space="0" w:color="auto"/>
              </w:divBdr>
              <w:divsChild>
                <w:div w:id="1587492481">
                  <w:marLeft w:val="0"/>
                  <w:marRight w:val="0"/>
                  <w:marTop w:val="0"/>
                  <w:marBottom w:val="0"/>
                  <w:divBdr>
                    <w:top w:val="none" w:sz="0" w:space="0" w:color="auto"/>
                    <w:left w:val="none" w:sz="0" w:space="0" w:color="auto"/>
                    <w:bottom w:val="none" w:sz="0" w:space="0" w:color="auto"/>
                    <w:right w:val="none" w:sz="0" w:space="0" w:color="auto"/>
                  </w:divBdr>
                  <w:divsChild>
                    <w:div w:id="2057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thecore.com/wp-content/uploads/2013/04/close-reading-claw-game.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Lyda Butler</dc:creator>
  <cp:lastModifiedBy>Noland, Cheryl</cp:lastModifiedBy>
  <cp:revision>3</cp:revision>
  <cp:lastPrinted>2013-10-09T18:11:00Z</cp:lastPrinted>
  <dcterms:created xsi:type="dcterms:W3CDTF">2014-10-06T22:28:00Z</dcterms:created>
  <dcterms:modified xsi:type="dcterms:W3CDTF">2014-10-06T22:28:00Z</dcterms:modified>
</cp:coreProperties>
</file>