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29" w:rsidRPr="004A1129" w:rsidRDefault="00BE708C" w:rsidP="004A1129">
      <w:pPr>
        <w:shd w:val="clear" w:color="auto" w:fill="F1F1F1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Tahoma" w:hAnsi="Tahoma" w:cs="Tahoma"/>
          <w:sz w:val="44"/>
          <w:szCs w:val="44"/>
        </w:rPr>
        <w:t xml:space="preserve">                                  </w:t>
      </w:r>
      <w:r w:rsidR="004A1129">
        <w:rPr>
          <w:rFonts w:ascii="Tahoma" w:hAnsi="Tahoma" w:cs="Tahoma"/>
          <w:sz w:val="44"/>
          <w:szCs w:val="44"/>
        </w:rPr>
        <w:t xml:space="preserve">       </w:t>
      </w:r>
      <w:r>
        <w:rPr>
          <w:rFonts w:ascii="Tahoma" w:hAnsi="Tahoma" w:cs="Tahoma"/>
          <w:sz w:val="44"/>
          <w:szCs w:val="44"/>
        </w:rPr>
        <w:t xml:space="preserve"> </w:t>
      </w:r>
      <w:r w:rsidR="00CF15C0" w:rsidRPr="00BE708C">
        <w:rPr>
          <w:rFonts w:ascii="Tahoma" w:hAnsi="Tahoma" w:cs="Tahoma"/>
          <w:sz w:val="40"/>
          <w:szCs w:val="40"/>
        </w:rPr>
        <w:t>Bounce Card</w:t>
      </w:r>
      <w:r w:rsidR="004A1129">
        <w:rPr>
          <w:rFonts w:ascii="Tahoma" w:hAnsi="Tahoma" w:cs="Tahoma"/>
          <w:sz w:val="40"/>
          <w:szCs w:val="40"/>
        </w:rPr>
        <w:t xml:space="preserve">   </w:t>
      </w:r>
    </w:p>
    <w:p w:rsidR="00D31061" w:rsidRPr="00BE708C" w:rsidRDefault="004A1129" w:rsidP="004A1129">
      <w:pPr>
        <w:jc w:val="center"/>
        <w:rPr>
          <w:rFonts w:ascii="Tahoma" w:hAnsi="Tahoma" w:cs="Tahoma"/>
          <w:sz w:val="40"/>
          <w:szCs w:val="40"/>
        </w:rPr>
      </w:pPr>
      <w:r w:rsidRPr="004A1129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1912C153" wp14:editId="7F8F3D07">
            <wp:extent cx="876300" cy="876300"/>
            <wp:effectExtent l="0" t="0" r="0" b="0"/>
            <wp:docPr id="2" name="Picture 2" descr="https://encrypted-tbn3.gstatic.com/images?q=tbn:ANd9GcSmu8CQrOhG0XhAAuykdJ04ya0NLxP1_bzyck_gNpoKLKDjbk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Smu8CQrOhG0XhAAuykdJ04ya0NLxP1_bzyck_gNpoKLKDjbk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776"/>
        <w:gridCol w:w="4776"/>
      </w:tblGrid>
      <w:tr w:rsidR="00BE708C" w:rsidTr="00BE708C">
        <w:tc>
          <w:tcPr>
            <w:tcW w:w="4776" w:type="dxa"/>
          </w:tcPr>
          <w:p w:rsidR="00BE708C" w:rsidRPr="004A1129" w:rsidRDefault="00BE708C" w:rsidP="00BE708C">
            <w:pPr>
              <w:rPr>
                <w:rFonts w:ascii="Tahoma" w:hAnsi="Tahoma" w:cs="Tahoma"/>
                <w:sz w:val="40"/>
                <w:szCs w:val="40"/>
              </w:rPr>
            </w:pPr>
            <w:r w:rsidRPr="004A1129">
              <w:rPr>
                <w:rFonts w:ascii="Tahoma" w:hAnsi="Tahoma" w:cs="Tahoma"/>
                <w:sz w:val="40"/>
                <w:szCs w:val="40"/>
              </w:rPr>
              <w:t>BOUNCE:</w:t>
            </w:r>
          </w:p>
        </w:tc>
        <w:tc>
          <w:tcPr>
            <w:tcW w:w="4776" w:type="dxa"/>
          </w:tcPr>
          <w:p w:rsidR="00BE708C" w:rsidRPr="004A1129" w:rsidRDefault="00BE708C" w:rsidP="00BE708C">
            <w:pPr>
              <w:rPr>
                <w:rFonts w:ascii="Tahoma" w:hAnsi="Tahoma" w:cs="Tahoma"/>
                <w:sz w:val="40"/>
                <w:szCs w:val="40"/>
              </w:rPr>
            </w:pPr>
            <w:r w:rsidRPr="004A1129">
              <w:rPr>
                <w:rFonts w:ascii="Tahoma" w:hAnsi="Tahoma" w:cs="Tahoma"/>
                <w:sz w:val="40"/>
                <w:szCs w:val="40"/>
              </w:rPr>
              <w:t>SUM IT UP:</w:t>
            </w:r>
          </w:p>
        </w:tc>
        <w:tc>
          <w:tcPr>
            <w:tcW w:w="4776" w:type="dxa"/>
          </w:tcPr>
          <w:p w:rsidR="00BE708C" w:rsidRPr="004A1129" w:rsidRDefault="00BE708C" w:rsidP="00BE708C">
            <w:pPr>
              <w:rPr>
                <w:rFonts w:ascii="Tahoma" w:hAnsi="Tahoma" w:cs="Tahoma"/>
                <w:sz w:val="40"/>
                <w:szCs w:val="40"/>
              </w:rPr>
            </w:pPr>
            <w:r w:rsidRPr="004A1129">
              <w:rPr>
                <w:rFonts w:ascii="Tahoma" w:hAnsi="Tahoma" w:cs="Tahoma"/>
                <w:sz w:val="40"/>
                <w:szCs w:val="40"/>
              </w:rPr>
              <w:t>INQUIRE:</w:t>
            </w:r>
          </w:p>
        </w:tc>
      </w:tr>
      <w:tr w:rsidR="00BE708C" w:rsidTr="00BE708C">
        <w:tc>
          <w:tcPr>
            <w:tcW w:w="4776" w:type="dxa"/>
          </w:tcPr>
          <w:p w:rsidR="00BE708C" w:rsidRDefault="00BE708C" w:rsidP="00BE708C">
            <w:pPr>
              <w:rPr>
                <w:rFonts w:asciiTheme="majorHAnsi" w:hAnsiTheme="majorHAnsi" w:cs="Tahoma"/>
                <w:i/>
                <w:sz w:val="24"/>
                <w:szCs w:val="24"/>
              </w:rPr>
            </w:pPr>
            <w:r w:rsidRPr="00BE708C">
              <w:rPr>
                <w:rFonts w:asciiTheme="majorHAnsi" w:hAnsiTheme="majorHAnsi" w:cs="Tahoma"/>
                <w:i/>
                <w:sz w:val="24"/>
                <w:szCs w:val="24"/>
              </w:rPr>
              <w:t>Take what your classmate(s) said and bounce an idea off of it. For example, you can start your sentences with-</w:t>
            </w:r>
          </w:p>
          <w:p w:rsidR="00BE708C" w:rsidRDefault="00BE708C" w:rsidP="00BE708C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BE708C">
              <w:rPr>
                <w:rFonts w:asciiTheme="majorHAnsi" w:hAnsiTheme="majorHAnsi" w:cs="Tahoma"/>
                <w:b/>
                <w:sz w:val="24"/>
                <w:szCs w:val="24"/>
              </w:rPr>
              <w:t>“That reminds me of…”</w:t>
            </w:r>
          </w:p>
          <w:p w:rsidR="00BE708C" w:rsidRDefault="00BE708C" w:rsidP="00BE708C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“I agree, because…”</w:t>
            </w:r>
          </w:p>
          <w:p w:rsidR="00BE708C" w:rsidRDefault="00BE708C" w:rsidP="00BE708C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“True. Another example is when…”</w:t>
            </w:r>
          </w:p>
          <w:p w:rsidR="00BE708C" w:rsidRPr="00BE708C" w:rsidRDefault="00BE708C" w:rsidP="00BE708C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“That’s a great point…”</w:t>
            </w:r>
          </w:p>
        </w:tc>
        <w:tc>
          <w:tcPr>
            <w:tcW w:w="4776" w:type="dxa"/>
          </w:tcPr>
          <w:p w:rsidR="00BE708C" w:rsidRDefault="00BE708C" w:rsidP="00BE708C">
            <w:pPr>
              <w:rPr>
                <w:rFonts w:asciiTheme="majorHAnsi" w:hAnsiTheme="majorHAnsi" w:cs="Tahoma"/>
                <w:i/>
                <w:sz w:val="24"/>
                <w:szCs w:val="24"/>
              </w:rPr>
            </w:pPr>
            <w:r>
              <w:rPr>
                <w:rFonts w:asciiTheme="majorHAnsi" w:hAnsiTheme="majorHAnsi" w:cs="Tahoma"/>
                <w:i/>
                <w:sz w:val="24"/>
                <w:szCs w:val="24"/>
              </w:rPr>
              <w:t>Rephrase what was just said in a shorter version. For example, you can start your sentences with-</w:t>
            </w:r>
          </w:p>
          <w:p w:rsidR="00BE708C" w:rsidRDefault="00BE708C" w:rsidP="00BE708C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“I hear you saying that…”</w:t>
            </w:r>
          </w:p>
          <w:p w:rsidR="00BE708C" w:rsidRDefault="00BE708C" w:rsidP="00BE708C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“So, if I understand you correctly…”</w:t>
            </w:r>
          </w:p>
          <w:p w:rsidR="00BE708C" w:rsidRPr="00BE708C" w:rsidRDefault="00BE708C" w:rsidP="00BE708C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“I like how you said…”</w:t>
            </w:r>
          </w:p>
        </w:tc>
        <w:tc>
          <w:tcPr>
            <w:tcW w:w="4776" w:type="dxa"/>
          </w:tcPr>
          <w:p w:rsidR="00BE708C" w:rsidRDefault="00BE708C" w:rsidP="00BE708C">
            <w:pPr>
              <w:rPr>
                <w:rFonts w:asciiTheme="majorHAnsi" w:hAnsiTheme="majorHAnsi" w:cs="Tahoma"/>
                <w:i/>
                <w:sz w:val="24"/>
                <w:szCs w:val="24"/>
              </w:rPr>
            </w:pPr>
            <w:r>
              <w:rPr>
                <w:rFonts w:asciiTheme="majorHAnsi" w:hAnsiTheme="majorHAnsi" w:cs="Tahoma"/>
                <w:i/>
                <w:sz w:val="24"/>
                <w:szCs w:val="24"/>
              </w:rPr>
              <w:t>Understand what your classmates mean by asking them questions.  For example, you can start your questions with-</w:t>
            </w:r>
          </w:p>
          <w:p w:rsidR="00BE708C" w:rsidRDefault="00BE708C" w:rsidP="00BE708C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“Can you tell me more about that?”</w:t>
            </w:r>
          </w:p>
          <w:p w:rsidR="00BE708C" w:rsidRDefault="00BE708C" w:rsidP="00BE708C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“I’m not sure I understand…”</w:t>
            </w:r>
          </w:p>
          <w:p w:rsidR="00BE708C" w:rsidRPr="00BE708C" w:rsidRDefault="00BE708C" w:rsidP="00BE708C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“Have you thought about…?”</w:t>
            </w:r>
          </w:p>
        </w:tc>
      </w:tr>
      <w:tr w:rsidR="00BE708C" w:rsidRPr="00BE708C" w:rsidTr="00F73188">
        <w:tc>
          <w:tcPr>
            <w:tcW w:w="14328" w:type="dxa"/>
            <w:gridSpan w:val="3"/>
          </w:tcPr>
          <w:p w:rsidR="00BE708C" w:rsidRPr="00BE708C" w:rsidRDefault="00BE708C" w:rsidP="00BE708C">
            <w:pPr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BE708C">
              <w:rPr>
                <w:rFonts w:asciiTheme="majorHAnsi" w:hAnsiTheme="majorHAnsi" w:cs="Tahoma"/>
                <w:i/>
                <w:sz w:val="20"/>
                <w:szCs w:val="20"/>
              </w:rPr>
              <w:t>Source:</w:t>
            </w:r>
            <w:r>
              <w:rPr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Pr="00BE708C">
              <w:rPr>
                <w:rFonts w:asciiTheme="majorHAnsi" w:hAnsiTheme="majorHAnsi" w:cs="Tahoma"/>
                <w:i/>
                <w:sz w:val="20"/>
                <w:szCs w:val="20"/>
              </w:rPr>
              <w:t>From Total Par</w:t>
            </w:r>
            <w:r>
              <w:rPr>
                <w:rFonts w:asciiTheme="majorHAnsi" w:hAnsiTheme="majorHAnsi" w:cs="Tahoma"/>
                <w:i/>
                <w:sz w:val="20"/>
                <w:szCs w:val="20"/>
              </w:rPr>
              <w:t>t</w:t>
            </w:r>
            <w:r w:rsidRPr="00BE708C">
              <w:rPr>
                <w:rFonts w:asciiTheme="majorHAnsi" w:hAnsiTheme="majorHAnsi" w:cs="Tahoma"/>
                <w:i/>
                <w:sz w:val="20"/>
                <w:szCs w:val="20"/>
              </w:rPr>
              <w:t>ic</w:t>
            </w:r>
            <w:r>
              <w:rPr>
                <w:rFonts w:asciiTheme="majorHAnsi" w:hAnsiTheme="majorHAnsi" w:cs="Tahoma"/>
                <w:i/>
                <w:sz w:val="20"/>
                <w:szCs w:val="20"/>
              </w:rPr>
              <w:t>i</w:t>
            </w:r>
            <w:r w:rsidRPr="00BE708C">
              <w:rPr>
                <w:rFonts w:asciiTheme="majorHAnsi" w:hAnsiTheme="majorHAnsi" w:cs="Tahoma"/>
                <w:i/>
                <w:sz w:val="20"/>
                <w:szCs w:val="20"/>
              </w:rPr>
              <w:t xml:space="preserve">pation Techniques: Making Every Student an Active Learner, </w:t>
            </w:r>
            <w:proofErr w:type="spellStart"/>
            <w:r w:rsidRPr="00BE708C">
              <w:rPr>
                <w:rFonts w:asciiTheme="majorHAnsi" w:hAnsiTheme="majorHAnsi" w:cs="Tahoma"/>
                <w:i/>
                <w:sz w:val="20"/>
                <w:szCs w:val="20"/>
              </w:rPr>
              <w:t>Himmele</w:t>
            </w:r>
            <w:proofErr w:type="spellEnd"/>
            <w:r w:rsidRPr="00BE708C">
              <w:rPr>
                <w:rFonts w:asciiTheme="majorHAnsi" w:hAnsiTheme="majorHAnsi" w:cs="Tahoma"/>
                <w:i/>
                <w:sz w:val="20"/>
                <w:szCs w:val="20"/>
              </w:rPr>
              <w:t xml:space="preserve"> 2011, ASCD</w:t>
            </w:r>
          </w:p>
        </w:tc>
      </w:tr>
    </w:tbl>
    <w:p w:rsidR="00BE708C" w:rsidRDefault="00BE708C" w:rsidP="00BE708C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8"/>
      </w:tblGrid>
      <w:tr w:rsidR="003050F7" w:rsidTr="003050F7">
        <w:tc>
          <w:tcPr>
            <w:tcW w:w="14328" w:type="dxa"/>
          </w:tcPr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Pr="003050F7" w:rsidRDefault="003050F7" w:rsidP="003050F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Academic Vocabulary Words </w:t>
            </w: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1D79" w:rsidRDefault="00151D79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1D79" w:rsidRDefault="00151D79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050F7" w:rsidRDefault="003050F7" w:rsidP="00BE70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50F7" w:rsidRPr="00BE708C" w:rsidRDefault="003050F7" w:rsidP="00151D79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3050F7" w:rsidRPr="00BE708C" w:rsidSect="0088270D">
      <w:footerReference w:type="default" r:id="rId9"/>
      <w:pgSz w:w="15840" w:h="12240" w:orient="landscape" w:code="1"/>
      <w:pgMar w:top="576" w:right="864" w:bottom="576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0D" w:rsidRDefault="0088270D" w:rsidP="0088270D">
      <w:pPr>
        <w:spacing w:after="0" w:line="240" w:lineRule="auto"/>
      </w:pPr>
      <w:r>
        <w:separator/>
      </w:r>
    </w:p>
  </w:endnote>
  <w:endnote w:type="continuationSeparator" w:id="0">
    <w:p w:rsidR="0088270D" w:rsidRDefault="0088270D" w:rsidP="0088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0D" w:rsidRPr="0088270D" w:rsidRDefault="0088270D">
    <w:pPr>
      <w:pStyle w:val="Footer"/>
      <w:rPr>
        <w:sz w:val="20"/>
        <w:szCs w:val="20"/>
      </w:rPr>
    </w:pPr>
    <w:r w:rsidRPr="0088270D">
      <w:rPr>
        <w:sz w:val="20"/>
        <w:szCs w:val="20"/>
      </w:rPr>
      <w:t>N: ELA-Secondary/</w:t>
    </w:r>
    <w:proofErr w:type="spellStart"/>
    <w:r w:rsidRPr="0088270D">
      <w:rPr>
        <w:sz w:val="20"/>
        <w:szCs w:val="20"/>
      </w:rPr>
      <w:t>BounceCard</w:t>
    </w:r>
    <w:proofErr w:type="spellEnd"/>
    <w:r w:rsidRPr="0088270D">
      <w:rPr>
        <w:sz w:val="20"/>
        <w:szCs w:val="20"/>
      </w:rPr>
      <w:t xml:space="preserve">-GO/2014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    </w:t>
    </w:r>
    <w:r w:rsidRPr="0088270D">
      <w:rPr>
        <w:sz w:val="20"/>
        <w:szCs w:val="20"/>
      </w:rPr>
      <w:t>Ed. Services - Secondary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0D" w:rsidRDefault="0088270D" w:rsidP="0088270D">
      <w:pPr>
        <w:spacing w:after="0" w:line="240" w:lineRule="auto"/>
      </w:pPr>
      <w:r>
        <w:separator/>
      </w:r>
    </w:p>
  </w:footnote>
  <w:footnote w:type="continuationSeparator" w:id="0">
    <w:p w:rsidR="0088270D" w:rsidRDefault="0088270D" w:rsidP="00882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C0"/>
    <w:rsid w:val="00151D79"/>
    <w:rsid w:val="003050F7"/>
    <w:rsid w:val="003720C0"/>
    <w:rsid w:val="004A1129"/>
    <w:rsid w:val="0088270D"/>
    <w:rsid w:val="00BE708C"/>
    <w:rsid w:val="00CF15C0"/>
    <w:rsid w:val="00D31061"/>
    <w:rsid w:val="00D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0D"/>
  </w:style>
  <w:style w:type="paragraph" w:styleId="Footer">
    <w:name w:val="footer"/>
    <w:basedOn w:val="Normal"/>
    <w:link w:val="FooterChar"/>
    <w:uiPriority w:val="99"/>
    <w:unhideWhenUsed/>
    <w:rsid w:val="00882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0D"/>
  </w:style>
  <w:style w:type="paragraph" w:styleId="Footer">
    <w:name w:val="footer"/>
    <w:basedOn w:val="Normal"/>
    <w:link w:val="FooterChar"/>
    <w:uiPriority w:val="99"/>
    <w:unhideWhenUsed/>
    <w:rsid w:val="00882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6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59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43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27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67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docid=dBAr9cpHTTDZkM&amp;tbnid=pzijb2UPbOAMuM:&amp;ved=0CAUQjRw&amp;url=http://revpeep.blogspot.com/2007/11/happy-new-year-dialogue-column-112707.html&amp;ei=c-riUo6YCcyGoQTYuYHgCQ&amp;bvm=bv.59930103,d.cGU&amp;psig=AFQjCNEneXt7qEarqYc5iLwqaqZqvm9HFw&amp;ust=13906891461237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 Butler</dc:creator>
  <cp:lastModifiedBy>Noland, Cheryl</cp:lastModifiedBy>
  <cp:revision>2</cp:revision>
  <cp:lastPrinted>2014-01-27T22:28:00Z</cp:lastPrinted>
  <dcterms:created xsi:type="dcterms:W3CDTF">2014-10-06T21:57:00Z</dcterms:created>
  <dcterms:modified xsi:type="dcterms:W3CDTF">2014-10-06T21:57:00Z</dcterms:modified>
</cp:coreProperties>
</file>